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D43A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582964E2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4D988EDE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55F72E4B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54CD9075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3F6E76C3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1E4185E2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433E3685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574ADF3D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</w:p>
    <w:p w14:paraId="28A3D0C9" w14:textId="77777777" w:rsid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  <w:r w:rsidRPr="00E33DCF">
        <w:rPr>
          <w:rFonts w:eastAsia="Times New Roman" w:cstheme="minorHAnsi"/>
          <w:b/>
          <w:sz w:val="44"/>
          <w:szCs w:val="44"/>
          <w:lang w:eastAsia="it-IT"/>
        </w:rPr>
        <w:t>Linee guida per la redazione del PEF</w:t>
      </w:r>
    </w:p>
    <w:p w14:paraId="7DCBFF3C" w14:textId="3ED91267" w:rsidR="00E33DCF" w:rsidRPr="00E33DCF" w:rsidRDefault="00E33DCF" w:rsidP="00E33DC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44"/>
          <w:szCs w:val="44"/>
          <w:lang w:eastAsia="it-IT"/>
        </w:rPr>
      </w:pPr>
      <w:r w:rsidRPr="00E33DCF">
        <w:rPr>
          <w:rFonts w:eastAsia="Times New Roman" w:cstheme="minorHAnsi"/>
          <w:b/>
          <w:sz w:val="44"/>
          <w:szCs w:val="44"/>
          <w:lang w:eastAsia="it-IT"/>
        </w:rPr>
        <w:t xml:space="preserve"> Servizi pubblici locali non a rete</w:t>
      </w:r>
    </w:p>
    <w:p w14:paraId="70F9DAA8" w14:textId="5DAEC3E7" w:rsidR="006F33AD" w:rsidRDefault="00E33DCF">
      <w:r>
        <w:br w:type="page"/>
      </w:r>
    </w:p>
    <w:p w14:paraId="175C6671" w14:textId="313D01B2" w:rsidR="009164B2" w:rsidRPr="005E07A8" w:rsidRDefault="0098129B" w:rsidP="005E07A8">
      <w:pPr>
        <w:spacing w:after="0" w:line="240" w:lineRule="auto"/>
        <w:rPr>
          <w:rFonts w:asciiTheme="majorHAnsi" w:hAnsiTheme="majorHAnsi" w:cs="Calibri Light (Titoli)"/>
          <w:color w:val="2F5496" w:themeColor="accent1" w:themeShade="BF"/>
          <w:sz w:val="40"/>
          <w:szCs w:val="40"/>
        </w:rPr>
      </w:pPr>
      <w:sdt>
        <w:sdtPr>
          <w:rPr>
            <w:rFonts w:asciiTheme="majorHAnsi" w:hAnsiTheme="majorHAnsi" w:cs="Calibri Light (Titoli)"/>
            <w:color w:val="2F5496" w:themeColor="accent1" w:themeShade="BF"/>
            <w:sz w:val="40"/>
            <w:szCs w:val="40"/>
          </w:rPr>
          <w:id w:val="2146080815"/>
          <w:docPartObj>
            <w:docPartGallery w:val="Cover Pages"/>
            <w:docPartUnique/>
          </w:docPartObj>
        </w:sdtPr>
        <w:sdtEndPr/>
        <w:sdtContent>
          <w:r w:rsidR="00AC11AA" w:rsidRPr="005E07A8">
            <w:rPr>
              <w:rFonts w:asciiTheme="majorHAnsi" w:hAnsiTheme="majorHAnsi" w:cs="Calibri Light (Titoli)"/>
              <w:noProof/>
              <w:color w:val="2F5496" w:themeColor="accent1" w:themeShade="BF"/>
              <w:sz w:val="40"/>
              <w:szCs w:val="4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C08E72" wp14:editId="63951EA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sella di tes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unto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1B8D9AE6" w14:textId="47521C7E" w:rsidR="00AC11AA" w:rsidRDefault="00AC11A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5EC08E7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unto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1B8D9AE6" w14:textId="47521C7E" w:rsidR="00AC11AA" w:rsidRDefault="00AC11AA">
                              <w:pPr>
                                <w:pStyle w:val="Nessunaspaziatura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sdtContent>
      </w:sdt>
      <w:r w:rsidR="009164B2" w:rsidRPr="005E07A8">
        <w:rPr>
          <w:rFonts w:asciiTheme="majorHAnsi" w:hAnsiTheme="majorHAnsi" w:cs="Calibri Light (Titoli)"/>
          <w:color w:val="2F5496" w:themeColor="accent1" w:themeShade="BF"/>
          <w:sz w:val="40"/>
          <w:szCs w:val="40"/>
        </w:rPr>
        <w:t>Sommario</w:t>
      </w:r>
    </w:p>
    <w:p w14:paraId="25112CB2" w14:textId="62490AD8" w:rsidR="00E33DCF" w:rsidRDefault="009164B2">
      <w:pPr>
        <w:pStyle w:val="Sommario1"/>
        <w:tabs>
          <w:tab w:val="right" w:pos="9628"/>
        </w:tabs>
        <w:rPr>
          <w:rFonts w:cstheme="minorBidi"/>
          <w:b w:val="0"/>
          <w:bCs w:val="0"/>
          <w:caps w:val="0"/>
          <w:noProof/>
          <w:sz w:val="24"/>
          <w:szCs w:val="24"/>
          <w:u w:val="none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849914" w:history="1">
        <w:r w:rsidR="00E33DCF" w:rsidRPr="00345427">
          <w:rPr>
            <w:rStyle w:val="Collegamentoipertestuale"/>
            <w:noProof/>
          </w:rPr>
          <w:t>Premessa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_Toc140849914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2</w:t>
        </w:r>
        <w:r w:rsidR="00E33DCF">
          <w:rPr>
            <w:noProof/>
            <w:webHidden/>
          </w:rPr>
          <w:fldChar w:fldCharType="end"/>
        </w:r>
      </w:hyperlink>
    </w:p>
    <w:p w14:paraId="1EEC80A2" w14:textId="15EFCC56" w:rsidR="00E33DCF" w:rsidRDefault="0098129B">
      <w:pPr>
        <w:pStyle w:val="Sommario1"/>
        <w:tabs>
          <w:tab w:val="right" w:pos="9628"/>
        </w:tabs>
        <w:rPr>
          <w:rFonts w:cstheme="minorBidi"/>
          <w:b w:val="0"/>
          <w:bCs w:val="0"/>
          <w:caps w:val="0"/>
          <w:noProof/>
          <w:sz w:val="24"/>
          <w:szCs w:val="24"/>
          <w:u w:val="none"/>
          <w:lang w:eastAsia="it-IT"/>
        </w:rPr>
      </w:pPr>
      <w:hyperlink w:anchor="_Toc140849915" w:history="1">
        <w:r w:rsidR="00E33DCF" w:rsidRPr="00345427">
          <w:rPr>
            <w:rStyle w:val="Collegamentoipertestuale"/>
            <w:noProof/>
          </w:rPr>
          <w:t>Riferimenti normativi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_Toc140849915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2</w:t>
        </w:r>
        <w:r w:rsidR="00E33DCF">
          <w:rPr>
            <w:noProof/>
            <w:webHidden/>
          </w:rPr>
          <w:fldChar w:fldCharType="end"/>
        </w:r>
      </w:hyperlink>
    </w:p>
    <w:p w14:paraId="720F83C4" w14:textId="0CDE9926" w:rsidR="00E33DCF" w:rsidRDefault="0098129B">
      <w:pPr>
        <w:pStyle w:val="Sommario1"/>
        <w:tabs>
          <w:tab w:val="right" w:pos="9628"/>
        </w:tabs>
        <w:rPr>
          <w:rFonts w:cstheme="minorBidi"/>
          <w:b w:val="0"/>
          <w:bCs w:val="0"/>
          <w:caps w:val="0"/>
          <w:noProof/>
          <w:sz w:val="24"/>
          <w:szCs w:val="24"/>
          <w:u w:val="none"/>
          <w:lang w:eastAsia="it-IT"/>
        </w:rPr>
      </w:pPr>
      <w:hyperlink w:anchor="_Toc140849916" w:history="1">
        <w:r w:rsidR="00E33DCF" w:rsidRPr="00345427">
          <w:rPr>
            <w:rStyle w:val="Collegamentoipertestuale"/>
            <w:noProof/>
          </w:rPr>
          <w:t>Articolazione e contenuti minimi del PEF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_Toc140849916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3</w:t>
        </w:r>
        <w:r w:rsidR="00E33DCF">
          <w:rPr>
            <w:noProof/>
            <w:webHidden/>
          </w:rPr>
          <w:fldChar w:fldCharType="end"/>
        </w:r>
      </w:hyperlink>
    </w:p>
    <w:p w14:paraId="583EE9E4" w14:textId="07062D50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17" w:history="1">
        <w:r w:rsidR="00E33DCF" w:rsidRPr="00345427">
          <w:rPr>
            <w:rStyle w:val="Collegamentoipertestuale"/>
            <w:noProof/>
          </w:rPr>
          <w:t>Premessa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_Toc140849917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3</w:t>
        </w:r>
        <w:r w:rsidR="00E33DCF">
          <w:rPr>
            <w:noProof/>
            <w:webHidden/>
          </w:rPr>
          <w:fldChar w:fldCharType="end"/>
        </w:r>
      </w:hyperlink>
    </w:p>
    <w:p w14:paraId="009FBB0E" w14:textId="27888DAB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18" w:history="1">
        <w:r w:rsidR="00E33DCF" w:rsidRPr="00345427">
          <w:rPr>
            <w:rStyle w:val="Collegamentoipertestuale"/>
            <w:noProof/>
          </w:rPr>
          <w:t>Natura e descrizione del servizio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_Toc140849918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4</w:t>
        </w:r>
        <w:r w:rsidR="00E33DCF">
          <w:rPr>
            <w:noProof/>
            <w:webHidden/>
          </w:rPr>
          <w:fldChar w:fldCharType="end"/>
        </w:r>
      </w:hyperlink>
    </w:p>
    <w:p w14:paraId="0AD7B8CB" w14:textId="6BA6AB56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19" w:history="1">
        <w:r w:rsidR="00E33DCF" w:rsidRPr="00345427">
          <w:rPr>
            <w:rStyle w:val="Collegamentoipertestuale"/>
            <w:noProof/>
          </w:rPr>
          <w:t>Assunzioni del piano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_Toc140849919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4</w:t>
        </w:r>
        <w:r w:rsidR="00E33DCF">
          <w:rPr>
            <w:noProof/>
            <w:webHidden/>
          </w:rPr>
          <w:fldChar w:fldCharType="end"/>
        </w:r>
      </w:hyperlink>
    </w:p>
    <w:p w14:paraId="10D8F9C6" w14:textId="57E2E5F6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0" w:history="1">
        <w:r w:rsidR="00E33DCF" w:rsidRPr="00345427">
          <w:rPr>
            <w:rStyle w:val="Collegamentoipertestuale"/>
            <w:noProof/>
          </w:rPr>
          <w:t>Determinazione dei ricavi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_Toc140849920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5</w:t>
        </w:r>
        <w:r w:rsidR="00E33DCF">
          <w:rPr>
            <w:noProof/>
            <w:webHidden/>
          </w:rPr>
          <w:fldChar w:fldCharType="end"/>
        </w:r>
      </w:hyperlink>
    </w:p>
    <w:p w14:paraId="6EF2DE7B" w14:textId="2486AC5B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1" w:history="1">
        <w:r w:rsidR="00E33DCF" w:rsidRPr="00345427">
          <w:rPr>
            <w:rStyle w:val="Collegamentoipertestuale"/>
            <w:noProof/>
          </w:rPr>
          <w:t>Determinazione dei costi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_Toc140849921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5</w:t>
        </w:r>
        <w:r w:rsidR="00E33DCF">
          <w:rPr>
            <w:noProof/>
            <w:webHidden/>
          </w:rPr>
          <w:fldChar w:fldCharType="end"/>
        </w:r>
      </w:hyperlink>
    </w:p>
    <w:p w14:paraId="764E0A0E" w14:textId="288BB93D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2" w:history="1">
        <w:r w:rsidR="00E33DCF" w:rsidRPr="00345427">
          <w:rPr>
            <w:rStyle w:val="Collegamentoipertestuale"/>
            <w:noProof/>
          </w:rPr>
          <w:t>Verifica degli equilibri economici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_Toc140849922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6</w:t>
        </w:r>
        <w:r w:rsidR="00E33DCF">
          <w:rPr>
            <w:noProof/>
            <w:webHidden/>
          </w:rPr>
          <w:fldChar w:fldCharType="end"/>
        </w:r>
      </w:hyperlink>
    </w:p>
    <w:p w14:paraId="2AE4BCF0" w14:textId="04157654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3" w:history="1">
        <w:r w:rsidR="00E33DCF" w:rsidRPr="00345427">
          <w:rPr>
            <w:rStyle w:val="Collegamentoipertestuale"/>
            <w:noProof/>
          </w:rPr>
          <w:t>Piano degli investimenti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_Toc140849923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6</w:t>
        </w:r>
        <w:r w:rsidR="00E33DCF">
          <w:rPr>
            <w:noProof/>
            <w:webHidden/>
          </w:rPr>
          <w:fldChar w:fldCharType="end"/>
        </w:r>
      </w:hyperlink>
    </w:p>
    <w:p w14:paraId="243114C9" w14:textId="6E5CF1E9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4" w:history="1">
        <w:r w:rsidR="00E33DCF" w:rsidRPr="00345427">
          <w:rPr>
            <w:rStyle w:val="Collegamentoipertestuale"/>
            <w:noProof/>
          </w:rPr>
          <w:t>Effetti patrimoniali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_Toc140849924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7</w:t>
        </w:r>
        <w:r w:rsidR="00E33DCF">
          <w:rPr>
            <w:noProof/>
            <w:webHidden/>
          </w:rPr>
          <w:fldChar w:fldCharType="end"/>
        </w:r>
      </w:hyperlink>
    </w:p>
    <w:p w14:paraId="09F73572" w14:textId="4972D977" w:rsidR="00E33DCF" w:rsidRDefault="0098129B">
      <w:pPr>
        <w:pStyle w:val="Sommario2"/>
        <w:tabs>
          <w:tab w:val="right" w:pos="9628"/>
        </w:tabs>
        <w:rPr>
          <w:rFonts w:cstheme="minorBidi"/>
          <w:b w:val="0"/>
          <w:bCs w:val="0"/>
          <w:smallCaps w:val="0"/>
          <w:noProof/>
          <w:sz w:val="24"/>
          <w:szCs w:val="24"/>
          <w:lang w:eastAsia="it-IT"/>
        </w:rPr>
      </w:pPr>
      <w:hyperlink w:anchor="_Toc140849925" w:history="1">
        <w:r w:rsidR="00E33DCF" w:rsidRPr="00345427">
          <w:rPr>
            <w:rStyle w:val="Collegamentoipertestuale"/>
            <w:noProof/>
          </w:rPr>
          <w:t>Verifica degli equilibri finanziari</w:t>
        </w:r>
        <w:r w:rsidR="00E33DCF">
          <w:rPr>
            <w:noProof/>
            <w:webHidden/>
          </w:rPr>
          <w:tab/>
        </w:r>
        <w:r w:rsidR="00E33DCF">
          <w:rPr>
            <w:noProof/>
            <w:webHidden/>
          </w:rPr>
          <w:fldChar w:fldCharType="begin"/>
        </w:r>
        <w:r w:rsidR="00E33DCF">
          <w:rPr>
            <w:noProof/>
            <w:webHidden/>
          </w:rPr>
          <w:instrText xml:space="preserve"> PAGEREF _Toc140849925 \h </w:instrText>
        </w:r>
        <w:r w:rsidR="00E33DCF">
          <w:rPr>
            <w:noProof/>
            <w:webHidden/>
          </w:rPr>
        </w:r>
        <w:r w:rsidR="00E33DCF">
          <w:rPr>
            <w:noProof/>
            <w:webHidden/>
          </w:rPr>
          <w:fldChar w:fldCharType="separate"/>
        </w:r>
        <w:r w:rsidR="00E33DCF">
          <w:rPr>
            <w:noProof/>
            <w:webHidden/>
          </w:rPr>
          <w:t>7</w:t>
        </w:r>
        <w:r w:rsidR="00E33DCF">
          <w:rPr>
            <w:noProof/>
            <w:webHidden/>
          </w:rPr>
          <w:fldChar w:fldCharType="end"/>
        </w:r>
      </w:hyperlink>
    </w:p>
    <w:p w14:paraId="20266A24" w14:textId="6BCA0265" w:rsidR="009164B2" w:rsidRPr="009164B2" w:rsidRDefault="009164B2" w:rsidP="009909B6">
      <w:pPr>
        <w:pStyle w:val="Titolo1"/>
        <w:jc w:val="both"/>
      </w:pPr>
      <w:r>
        <w:fldChar w:fldCharType="end"/>
      </w:r>
      <w:r w:rsidRPr="009164B2">
        <w:br w:type="page"/>
      </w:r>
    </w:p>
    <w:p w14:paraId="1D75FE95" w14:textId="6AE9A330" w:rsidR="001651A7" w:rsidRDefault="001651A7" w:rsidP="009909B6">
      <w:pPr>
        <w:pStyle w:val="Titolo1"/>
        <w:jc w:val="both"/>
      </w:pPr>
      <w:bookmarkStart w:id="0" w:name="_Toc140849914"/>
      <w:r>
        <w:lastRenderedPageBreak/>
        <w:t>Premessa</w:t>
      </w:r>
      <w:bookmarkEnd w:id="0"/>
    </w:p>
    <w:p w14:paraId="16512903" w14:textId="0A3534AF" w:rsidR="00791EBB" w:rsidRPr="001651A7" w:rsidRDefault="00791EBB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Scopo </w:t>
      </w:r>
      <w:r>
        <w:rPr>
          <w:rFonts w:cstheme="minorHAnsi"/>
          <w:sz w:val="24"/>
          <w:szCs w:val="24"/>
        </w:rPr>
        <w:t xml:space="preserve">del presente documento </w:t>
      </w:r>
      <w:r w:rsidRPr="00691490">
        <w:rPr>
          <w:rFonts w:cstheme="minorHAnsi"/>
          <w:sz w:val="24"/>
          <w:szCs w:val="24"/>
        </w:rPr>
        <w:t xml:space="preserve">è quello di </w:t>
      </w:r>
      <w:r w:rsidR="00AF1282">
        <w:rPr>
          <w:rFonts w:cstheme="minorHAnsi"/>
          <w:sz w:val="24"/>
          <w:szCs w:val="24"/>
        </w:rPr>
        <w:t>definire</w:t>
      </w:r>
      <w:r w:rsidRPr="006914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 linee guida da seguire per la redazione </w:t>
      </w:r>
      <w:r w:rsidRPr="00691490">
        <w:rPr>
          <w:rFonts w:cstheme="minorHAnsi"/>
          <w:sz w:val="24"/>
          <w:szCs w:val="24"/>
        </w:rPr>
        <w:t xml:space="preserve">del </w:t>
      </w:r>
      <w:r>
        <w:rPr>
          <w:rFonts w:cstheme="minorHAnsi"/>
          <w:sz w:val="24"/>
          <w:szCs w:val="24"/>
        </w:rPr>
        <w:t xml:space="preserve">Piano economico finanziario, di seguito </w:t>
      </w:r>
      <w:r w:rsidRPr="00691490">
        <w:rPr>
          <w:rFonts w:cstheme="minorHAnsi"/>
          <w:sz w:val="24"/>
          <w:szCs w:val="24"/>
        </w:rPr>
        <w:t>PEF</w:t>
      </w:r>
      <w:r w:rsidR="00964D5E">
        <w:rPr>
          <w:rFonts w:cstheme="minorHAnsi"/>
          <w:sz w:val="24"/>
          <w:szCs w:val="24"/>
        </w:rPr>
        <w:t xml:space="preserve"> o Piano</w:t>
      </w:r>
      <w:r>
        <w:rPr>
          <w:rFonts w:cstheme="minorHAnsi"/>
          <w:sz w:val="24"/>
          <w:szCs w:val="24"/>
        </w:rPr>
        <w:t>, nel caso di affidamento dei servizi pubblici locali non a rete</w:t>
      </w:r>
      <w:r w:rsidRPr="00691490">
        <w:rPr>
          <w:rFonts w:cstheme="minorHAnsi"/>
          <w:sz w:val="24"/>
          <w:szCs w:val="24"/>
        </w:rPr>
        <w:t>.</w:t>
      </w:r>
    </w:p>
    <w:p w14:paraId="4F2B45E6" w14:textId="69D83915" w:rsidR="001651A7" w:rsidRDefault="001651A7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Il </w:t>
      </w:r>
      <w:r w:rsidR="00791EBB">
        <w:rPr>
          <w:rFonts w:cstheme="minorHAnsi"/>
          <w:sz w:val="24"/>
          <w:szCs w:val="24"/>
        </w:rPr>
        <w:t>Piano</w:t>
      </w:r>
      <w:r w:rsidRPr="00691490">
        <w:rPr>
          <w:rFonts w:cstheme="minorHAnsi"/>
          <w:sz w:val="24"/>
          <w:szCs w:val="24"/>
        </w:rPr>
        <w:t xml:space="preserve"> è un documento </w:t>
      </w:r>
      <w:r w:rsidR="00964D5E">
        <w:rPr>
          <w:rFonts w:cstheme="minorHAnsi"/>
          <w:sz w:val="24"/>
          <w:szCs w:val="24"/>
        </w:rPr>
        <w:t xml:space="preserve">che deve </w:t>
      </w:r>
      <w:r w:rsidRPr="00691490">
        <w:rPr>
          <w:rFonts w:cstheme="minorHAnsi"/>
          <w:sz w:val="24"/>
          <w:szCs w:val="24"/>
        </w:rPr>
        <w:t>attesta</w:t>
      </w:r>
      <w:r w:rsidR="00964D5E">
        <w:rPr>
          <w:rFonts w:cstheme="minorHAnsi"/>
          <w:sz w:val="24"/>
          <w:szCs w:val="24"/>
        </w:rPr>
        <w:t>re</w:t>
      </w:r>
      <w:r w:rsidRPr="00691490">
        <w:rPr>
          <w:rFonts w:cstheme="minorHAnsi"/>
          <w:sz w:val="24"/>
          <w:szCs w:val="24"/>
        </w:rPr>
        <w:t xml:space="preserve"> la sostenibilità d</w:t>
      </w:r>
      <w:r w:rsidR="00964D5E">
        <w:rPr>
          <w:rFonts w:cstheme="minorHAnsi"/>
          <w:sz w:val="24"/>
          <w:szCs w:val="24"/>
        </w:rPr>
        <w:t>el</w:t>
      </w:r>
      <w:r w:rsidRPr="00691490">
        <w:rPr>
          <w:rFonts w:cstheme="minorHAnsi"/>
          <w:sz w:val="24"/>
          <w:szCs w:val="24"/>
        </w:rPr>
        <w:t xml:space="preserve"> progetto </w:t>
      </w:r>
      <w:r w:rsidR="00964D5E">
        <w:rPr>
          <w:rFonts w:cstheme="minorHAnsi"/>
          <w:sz w:val="24"/>
          <w:szCs w:val="24"/>
        </w:rPr>
        <w:t xml:space="preserve">e </w:t>
      </w:r>
      <w:r w:rsidR="00E01E62">
        <w:rPr>
          <w:rFonts w:cstheme="minorHAnsi"/>
          <w:sz w:val="24"/>
          <w:szCs w:val="24"/>
        </w:rPr>
        <w:t>da</w:t>
      </w:r>
      <w:r w:rsidR="00500D11">
        <w:rPr>
          <w:rFonts w:cstheme="minorHAnsi"/>
          <w:sz w:val="24"/>
          <w:szCs w:val="24"/>
        </w:rPr>
        <w:t>re</w:t>
      </w:r>
      <w:r w:rsidR="00964D5E">
        <w:rPr>
          <w:rFonts w:cstheme="minorHAnsi"/>
          <w:sz w:val="24"/>
          <w:szCs w:val="24"/>
        </w:rPr>
        <w:t xml:space="preserve"> conto dell’equilibrio </w:t>
      </w:r>
      <w:r w:rsidR="00E01E62">
        <w:rPr>
          <w:rFonts w:cstheme="minorHAnsi"/>
          <w:sz w:val="24"/>
          <w:szCs w:val="24"/>
        </w:rPr>
        <w:t>economico e finanziario</w:t>
      </w:r>
      <w:r w:rsidRPr="00691490">
        <w:rPr>
          <w:rFonts w:cstheme="minorHAnsi"/>
          <w:sz w:val="24"/>
          <w:szCs w:val="24"/>
        </w:rPr>
        <w:t xml:space="preserve">. In particolare, </w:t>
      </w:r>
      <w:r w:rsidR="00E01E62">
        <w:rPr>
          <w:rFonts w:cstheme="minorHAnsi"/>
          <w:sz w:val="24"/>
          <w:szCs w:val="24"/>
        </w:rPr>
        <w:t>il PEF</w:t>
      </w:r>
      <w:r w:rsidR="00791EBB">
        <w:rPr>
          <w:rFonts w:cstheme="minorHAnsi"/>
          <w:sz w:val="24"/>
          <w:szCs w:val="24"/>
        </w:rPr>
        <w:t xml:space="preserve"> deve</w:t>
      </w:r>
      <w:r w:rsidRPr="00691490">
        <w:rPr>
          <w:rFonts w:cstheme="minorHAnsi"/>
          <w:sz w:val="24"/>
          <w:szCs w:val="24"/>
        </w:rPr>
        <w:t xml:space="preserve"> mette</w:t>
      </w:r>
      <w:r w:rsidR="00791EBB">
        <w:rPr>
          <w:rFonts w:cstheme="minorHAnsi"/>
          <w:sz w:val="24"/>
          <w:szCs w:val="24"/>
        </w:rPr>
        <w:t>re</w:t>
      </w:r>
      <w:r w:rsidRPr="00691490">
        <w:rPr>
          <w:rFonts w:cstheme="minorHAnsi"/>
          <w:sz w:val="24"/>
          <w:szCs w:val="24"/>
        </w:rPr>
        <w:t xml:space="preserve"> in evidenza, così come </w:t>
      </w:r>
      <w:r w:rsidR="00E01E62">
        <w:rPr>
          <w:rFonts w:cstheme="minorHAnsi"/>
          <w:sz w:val="24"/>
          <w:szCs w:val="24"/>
        </w:rPr>
        <w:t>delineato</w:t>
      </w:r>
      <w:r w:rsidRPr="00691490">
        <w:rPr>
          <w:rFonts w:cstheme="minorHAnsi"/>
          <w:sz w:val="24"/>
          <w:szCs w:val="24"/>
        </w:rPr>
        <w:t xml:space="preserve"> dal D.lgs. 201/2022, per tutta la durata dell’affidamento del servizio pubblico locale, “</w:t>
      </w:r>
      <w:r w:rsidRPr="00691490">
        <w:rPr>
          <w:rFonts w:cstheme="minorHAnsi"/>
          <w:i/>
          <w:iCs/>
          <w:sz w:val="24"/>
          <w:szCs w:val="24"/>
        </w:rPr>
        <w:t>i costi, i ricavi, gli investimenti e i relativi finanziamenti, nonché la specificazione dell’assetto economico-patrimoniale della società, del capitale proprio investito e dell’ammontare dell’indebitamento</w:t>
      </w:r>
      <w:r w:rsidRPr="00691490">
        <w:rPr>
          <w:rFonts w:cstheme="minorHAnsi"/>
          <w:sz w:val="24"/>
          <w:szCs w:val="24"/>
        </w:rPr>
        <w:t>”</w:t>
      </w:r>
      <w:r w:rsidRPr="00691490">
        <w:rPr>
          <w:rStyle w:val="Rimandonotaapidipagina"/>
          <w:rFonts w:cstheme="minorHAnsi"/>
          <w:sz w:val="24"/>
          <w:szCs w:val="24"/>
        </w:rPr>
        <w:footnoteReference w:id="1"/>
      </w:r>
      <w:r w:rsidRPr="00691490">
        <w:rPr>
          <w:rFonts w:cstheme="minorHAnsi"/>
          <w:sz w:val="24"/>
          <w:szCs w:val="24"/>
        </w:rPr>
        <w:t>.</w:t>
      </w:r>
    </w:p>
    <w:p w14:paraId="76AA5A7E" w14:textId="7FF25200" w:rsidR="00715310" w:rsidRDefault="00715310" w:rsidP="007153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Nelle ipotesi in cui gli enti locali debbano (a legislazione vigente) o comunque decidano di predisporre il PEF, ciò può avvenire sulla base delle presenti Linee guida, nelle quali sono descritte l’articolazione, i contenuti minimi e i principali indicatori economici e finanziari del Piano.</w:t>
      </w:r>
    </w:p>
    <w:p w14:paraId="0F3E00C8" w14:textId="77777777" w:rsidR="00715310" w:rsidRDefault="00715310" w:rsidP="007153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ciò si aggiunge, in coerenza con le disposizioni di legge, che:</w:t>
      </w:r>
    </w:p>
    <w:p w14:paraId="0117FF0E" w14:textId="6493F0E1" w:rsidR="00715310" w:rsidRDefault="00715310" w:rsidP="00B0385D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gli affidamenti di durata non superiore a </w:t>
      </w:r>
      <w:proofErr w:type="gramStart"/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 xml:space="preserve"> anni, c</w:t>
      </w:r>
      <w:r w:rsidRPr="00B0385D">
        <w:rPr>
          <w:rFonts w:cstheme="minorHAnsi"/>
          <w:sz w:val="24"/>
          <w:szCs w:val="24"/>
        </w:rPr>
        <w:t xml:space="preserve">onsiderato che </w:t>
      </w:r>
      <w:r w:rsidR="00B0385D">
        <w:rPr>
          <w:rFonts w:cstheme="minorHAnsi"/>
          <w:sz w:val="24"/>
          <w:szCs w:val="24"/>
        </w:rPr>
        <w:t xml:space="preserve">tali </w:t>
      </w:r>
      <w:r w:rsidRPr="00B0385D">
        <w:rPr>
          <w:rFonts w:cstheme="minorHAnsi"/>
          <w:sz w:val="24"/>
          <w:szCs w:val="24"/>
        </w:rPr>
        <w:t xml:space="preserve">gestioni di </w:t>
      </w:r>
      <w:r w:rsidR="00B0385D">
        <w:rPr>
          <w:rFonts w:cstheme="minorHAnsi"/>
          <w:sz w:val="24"/>
          <w:szCs w:val="24"/>
        </w:rPr>
        <w:t xml:space="preserve">durata </w:t>
      </w:r>
      <w:r>
        <w:rPr>
          <w:rFonts w:cstheme="minorHAnsi"/>
          <w:sz w:val="24"/>
          <w:szCs w:val="24"/>
        </w:rPr>
        <w:t>l</w:t>
      </w:r>
      <w:r w:rsidRPr="00B0385D">
        <w:rPr>
          <w:rFonts w:cstheme="minorHAnsi"/>
          <w:sz w:val="24"/>
          <w:szCs w:val="24"/>
        </w:rPr>
        <w:t>imitata non richiedono, in generale, un particolare sforzo di investimento, non risulta necessaria l’elaborazione del piano economico-finanziari - pur restandone una facoltà per gli enti - ove ciò non sia già reso obbligatorio da altre disposizioni di legge o da norme di settore</w:t>
      </w:r>
      <w:r>
        <w:rPr>
          <w:rFonts w:cstheme="minorHAnsi"/>
          <w:sz w:val="24"/>
          <w:szCs w:val="24"/>
        </w:rPr>
        <w:t>;</w:t>
      </w:r>
    </w:p>
    <w:p w14:paraId="26CB9555" w14:textId="038593FB" w:rsidR="006C6726" w:rsidRPr="001D328A" w:rsidRDefault="00715310" w:rsidP="001D328A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15310">
        <w:rPr>
          <w:rFonts w:cstheme="minorHAnsi"/>
          <w:sz w:val="24"/>
          <w:szCs w:val="24"/>
        </w:rPr>
        <w:t>s</w:t>
      </w:r>
      <w:r w:rsidRPr="00B0385D">
        <w:rPr>
          <w:rFonts w:cstheme="minorHAnsi"/>
          <w:sz w:val="24"/>
          <w:szCs w:val="24"/>
        </w:rPr>
        <w:t xml:space="preserve">empre per affidamenti di servizio di durata fino a </w:t>
      </w:r>
      <w:proofErr w:type="gramStart"/>
      <w:r w:rsidRPr="00B0385D">
        <w:rPr>
          <w:rFonts w:cstheme="minorHAnsi"/>
          <w:sz w:val="24"/>
          <w:szCs w:val="24"/>
        </w:rPr>
        <w:t>5</w:t>
      </w:r>
      <w:proofErr w:type="gramEnd"/>
      <w:r w:rsidRPr="00B0385D">
        <w:rPr>
          <w:rFonts w:cstheme="minorHAnsi"/>
          <w:sz w:val="24"/>
          <w:szCs w:val="24"/>
        </w:rPr>
        <w:t xml:space="preserve"> anni, anche nel caso si provveda alla redazione del piano economico finanziario, non vi è obbligo di procedere a un suo aggiornamento su base triennale</w:t>
      </w:r>
      <w:r w:rsidR="001D328A">
        <w:rPr>
          <w:rFonts w:cstheme="minorHAnsi"/>
          <w:sz w:val="24"/>
          <w:szCs w:val="24"/>
        </w:rPr>
        <w:t>.</w:t>
      </w:r>
    </w:p>
    <w:p w14:paraId="636A756A" w14:textId="77777777" w:rsidR="006C6726" w:rsidRDefault="006C6726" w:rsidP="009909B6">
      <w:pPr>
        <w:jc w:val="both"/>
        <w:rPr>
          <w:rFonts w:cstheme="minorHAnsi"/>
          <w:sz w:val="24"/>
          <w:szCs w:val="24"/>
        </w:rPr>
      </w:pPr>
    </w:p>
    <w:p w14:paraId="1B4CA280" w14:textId="23CBC921" w:rsidR="001651A7" w:rsidRDefault="001651A7" w:rsidP="009909B6">
      <w:pPr>
        <w:pStyle w:val="Titolo1"/>
        <w:jc w:val="both"/>
      </w:pPr>
      <w:bookmarkStart w:id="1" w:name="_Toc140849915"/>
      <w:r>
        <w:t>Riferimenti normativi</w:t>
      </w:r>
      <w:bookmarkEnd w:id="1"/>
    </w:p>
    <w:p w14:paraId="4C20A451" w14:textId="3A068590" w:rsidR="001651A7" w:rsidRPr="006443EF" w:rsidRDefault="006664E3" w:rsidP="009909B6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443EF">
        <w:rPr>
          <w:rFonts w:cstheme="minorHAnsi"/>
          <w:sz w:val="24"/>
          <w:szCs w:val="24"/>
        </w:rPr>
        <w:t>Decreto Legislativo n. 201 del 23 dicembre 2022 – “</w:t>
      </w:r>
      <w:r w:rsidRPr="006443EF">
        <w:rPr>
          <w:rFonts w:cstheme="minorHAnsi"/>
          <w:i/>
          <w:iCs/>
          <w:sz w:val="24"/>
          <w:szCs w:val="24"/>
        </w:rPr>
        <w:t>Riordino della disciplina dei servizi pubblici locali di rilevanza economica</w:t>
      </w:r>
      <w:r w:rsidRPr="006443EF">
        <w:rPr>
          <w:rFonts w:cstheme="minorHAnsi"/>
          <w:sz w:val="24"/>
          <w:szCs w:val="24"/>
        </w:rPr>
        <w:t>”</w:t>
      </w:r>
      <w:r w:rsidR="006443EF" w:rsidRPr="006443EF">
        <w:rPr>
          <w:rFonts w:cstheme="minorHAnsi"/>
          <w:sz w:val="24"/>
          <w:szCs w:val="24"/>
        </w:rPr>
        <w:t>;</w:t>
      </w:r>
    </w:p>
    <w:p w14:paraId="66F5ED69" w14:textId="3A5885BE" w:rsidR="006664E3" w:rsidRDefault="006664E3" w:rsidP="009909B6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443EF">
        <w:rPr>
          <w:rFonts w:cstheme="minorHAnsi"/>
          <w:sz w:val="24"/>
          <w:szCs w:val="24"/>
        </w:rPr>
        <w:t xml:space="preserve">Decreto Legislativo n. </w:t>
      </w:r>
      <w:r w:rsidR="001D328A">
        <w:rPr>
          <w:rFonts w:cstheme="minorHAnsi"/>
          <w:sz w:val="24"/>
          <w:szCs w:val="24"/>
        </w:rPr>
        <w:t>36</w:t>
      </w:r>
      <w:r w:rsidR="001D328A" w:rsidRPr="006443EF">
        <w:rPr>
          <w:rFonts w:cstheme="minorHAnsi"/>
          <w:sz w:val="24"/>
          <w:szCs w:val="24"/>
        </w:rPr>
        <w:t xml:space="preserve"> </w:t>
      </w:r>
      <w:r w:rsidRPr="006443EF">
        <w:rPr>
          <w:rFonts w:cstheme="minorHAnsi"/>
          <w:sz w:val="24"/>
          <w:szCs w:val="24"/>
        </w:rPr>
        <w:t xml:space="preserve">del </w:t>
      </w:r>
      <w:r w:rsidR="001D328A">
        <w:rPr>
          <w:rFonts w:cstheme="minorHAnsi"/>
          <w:sz w:val="24"/>
          <w:szCs w:val="24"/>
        </w:rPr>
        <w:t>31</w:t>
      </w:r>
      <w:r w:rsidR="001D328A" w:rsidRPr="006443EF">
        <w:rPr>
          <w:rFonts w:cstheme="minorHAnsi"/>
          <w:sz w:val="24"/>
          <w:szCs w:val="24"/>
        </w:rPr>
        <w:t xml:space="preserve"> </w:t>
      </w:r>
      <w:r w:rsidR="001D328A">
        <w:rPr>
          <w:rFonts w:cstheme="minorHAnsi"/>
          <w:sz w:val="24"/>
          <w:szCs w:val="24"/>
        </w:rPr>
        <w:t>marzo</w:t>
      </w:r>
      <w:r w:rsidR="001D328A" w:rsidRPr="006443EF">
        <w:rPr>
          <w:rFonts w:cstheme="minorHAnsi"/>
          <w:sz w:val="24"/>
          <w:szCs w:val="24"/>
        </w:rPr>
        <w:t xml:space="preserve"> </w:t>
      </w:r>
      <w:r w:rsidRPr="006443EF">
        <w:rPr>
          <w:rFonts w:cstheme="minorHAnsi"/>
          <w:sz w:val="24"/>
          <w:szCs w:val="24"/>
        </w:rPr>
        <w:t>20</w:t>
      </w:r>
      <w:r w:rsidR="001D328A">
        <w:rPr>
          <w:rFonts w:cstheme="minorHAnsi"/>
          <w:sz w:val="24"/>
          <w:szCs w:val="24"/>
        </w:rPr>
        <w:t>23</w:t>
      </w:r>
      <w:r w:rsidRPr="006443EF">
        <w:rPr>
          <w:rFonts w:cstheme="minorHAnsi"/>
          <w:sz w:val="24"/>
          <w:szCs w:val="24"/>
        </w:rPr>
        <w:t xml:space="preserve"> – Codice dei contratti pubblici</w:t>
      </w:r>
      <w:r w:rsidR="006443EF" w:rsidRPr="006443EF">
        <w:rPr>
          <w:rFonts w:cstheme="minorHAnsi"/>
          <w:sz w:val="24"/>
          <w:szCs w:val="24"/>
        </w:rPr>
        <w:t>;</w:t>
      </w:r>
    </w:p>
    <w:p w14:paraId="438A7333" w14:textId="4449EA40" w:rsidR="006443EF" w:rsidRPr="006443EF" w:rsidRDefault="006443EF" w:rsidP="009909B6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Decreto Legislativo n. 267 del 18 agosto 2000 – “Testo unico delle leggi sull’ordinamento degli enti locali;</w:t>
      </w:r>
    </w:p>
    <w:p w14:paraId="346674D3" w14:textId="7CE66B4B" w:rsidR="006664E3" w:rsidRDefault="006443EF" w:rsidP="009909B6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Linee Guida n. 9 di attuazione del decreto legislativo 18 aprile 2016, n. 50 elaborate dall’ANAC, aggiornate al 2023</w:t>
      </w:r>
      <w:r w:rsidR="001D328A">
        <w:rPr>
          <w:rFonts w:cstheme="minorHAnsi"/>
          <w:sz w:val="24"/>
          <w:szCs w:val="24"/>
        </w:rPr>
        <w:t>;</w:t>
      </w:r>
    </w:p>
    <w:p w14:paraId="12DD4289" w14:textId="1728D4D2" w:rsidR="00AF1282" w:rsidRDefault="00AF1282" w:rsidP="009909B6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Attuazione dell</w:t>
      </w:r>
      <w:r w:rsidRPr="00AF1282">
        <w:rPr>
          <w:rFonts w:cstheme="minorHAnsi"/>
          <w:sz w:val="24"/>
          <w:szCs w:val="24"/>
        </w:rPr>
        <w:t>’art. 8 del d.lgs. n. 201/2022</w:t>
      </w:r>
      <w:r>
        <w:rPr>
          <w:rFonts w:cstheme="minorHAnsi"/>
          <w:sz w:val="24"/>
          <w:szCs w:val="24"/>
        </w:rPr>
        <w:t xml:space="preserve"> – Relazione generale, Ministero delle imprese e del made in Italy</w:t>
      </w:r>
      <w:r w:rsidR="001D328A">
        <w:rPr>
          <w:rFonts w:cstheme="minorHAnsi"/>
          <w:sz w:val="24"/>
          <w:szCs w:val="24"/>
        </w:rPr>
        <w:t>.</w:t>
      </w:r>
    </w:p>
    <w:p w14:paraId="4E3DADF1" w14:textId="3DFEEBD4" w:rsidR="002D69BC" w:rsidRPr="00691490" w:rsidRDefault="001651A7" w:rsidP="009909B6">
      <w:pPr>
        <w:pStyle w:val="Titolo1"/>
        <w:jc w:val="both"/>
      </w:pPr>
      <w:bookmarkStart w:id="2" w:name="_Toc140849916"/>
      <w:r>
        <w:t xml:space="preserve">Articolazione </w:t>
      </w:r>
      <w:r w:rsidR="00A8240F">
        <w:t xml:space="preserve">e contenuti minimi </w:t>
      </w:r>
      <w:r w:rsidR="0075335A" w:rsidRPr="00691490">
        <w:t>del PEF</w:t>
      </w:r>
      <w:bookmarkEnd w:id="2"/>
    </w:p>
    <w:p w14:paraId="79D9CEDA" w14:textId="41FCF243" w:rsidR="006A21D2" w:rsidRPr="00691490" w:rsidRDefault="006C6726" w:rsidP="006C67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questa sede, </w:t>
      </w:r>
      <w:r w:rsidR="00F82F5F">
        <w:rPr>
          <w:rFonts w:cstheme="minorHAnsi"/>
          <w:sz w:val="24"/>
          <w:szCs w:val="24"/>
        </w:rPr>
        <w:t>con l’obiettivo di favorire un modello flessibile per le amm</w:t>
      </w:r>
      <w:r w:rsidR="00F42FED">
        <w:rPr>
          <w:rFonts w:cstheme="minorHAnsi"/>
          <w:sz w:val="24"/>
          <w:szCs w:val="24"/>
        </w:rPr>
        <w:t>i</w:t>
      </w:r>
      <w:r w:rsidR="00F82F5F">
        <w:rPr>
          <w:rFonts w:cstheme="minorHAnsi"/>
          <w:sz w:val="24"/>
          <w:szCs w:val="24"/>
        </w:rPr>
        <w:t>nistrazioni</w:t>
      </w:r>
      <w:r>
        <w:rPr>
          <w:rFonts w:cstheme="minorHAnsi"/>
          <w:sz w:val="24"/>
          <w:szCs w:val="24"/>
        </w:rPr>
        <w:t xml:space="preserve">, </w:t>
      </w:r>
      <w:r w:rsidR="00C15112">
        <w:rPr>
          <w:rFonts w:cstheme="minorHAnsi"/>
          <w:sz w:val="24"/>
          <w:szCs w:val="24"/>
        </w:rPr>
        <w:t>al fine</w:t>
      </w:r>
      <w:r>
        <w:rPr>
          <w:rFonts w:cstheme="minorHAnsi"/>
          <w:sz w:val="24"/>
          <w:szCs w:val="24"/>
        </w:rPr>
        <w:t xml:space="preserve"> </w:t>
      </w:r>
      <w:r w:rsidR="00F82F5F">
        <w:rPr>
          <w:rFonts w:cstheme="minorHAnsi"/>
          <w:sz w:val="24"/>
          <w:szCs w:val="24"/>
        </w:rPr>
        <w:t xml:space="preserve">quindi </w:t>
      </w:r>
      <w:r>
        <w:rPr>
          <w:rFonts w:cstheme="minorHAnsi"/>
          <w:sz w:val="24"/>
          <w:szCs w:val="24"/>
        </w:rPr>
        <w:t>di fornire delle indicazioni di massima</w:t>
      </w:r>
      <w:r w:rsidR="00715310">
        <w:rPr>
          <w:rFonts w:cstheme="minorHAnsi"/>
          <w:sz w:val="24"/>
          <w:szCs w:val="24"/>
        </w:rPr>
        <w:t xml:space="preserve"> a cui le stesse potranno attenersi nel caso in cui debbano o scelgano di predisporre il PEF</w:t>
      </w:r>
      <w:r>
        <w:rPr>
          <w:rFonts w:cstheme="minorHAnsi"/>
          <w:sz w:val="24"/>
          <w:szCs w:val="24"/>
        </w:rPr>
        <w:t xml:space="preserve">, si </w:t>
      </w:r>
      <w:r w:rsidR="00715310">
        <w:rPr>
          <w:rFonts w:cstheme="minorHAnsi"/>
          <w:sz w:val="24"/>
          <w:szCs w:val="24"/>
        </w:rPr>
        <w:t>forniscono di seguito indicazioni</w:t>
      </w:r>
      <w:r w:rsidR="006A21D2" w:rsidRPr="00691490">
        <w:rPr>
          <w:rFonts w:cstheme="minorHAnsi"/>
          <w:sz w:val="24"/>
          <w:szCs w:val="24"/>
        </w:rPr>
        <w:t xml:space="preserve"> per la stesura e la redazione </w:t>
      </w:r>
      <w:r w:rsidRPr="00691490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o</w:t>
      </w:r>
      <w:r w:rsidRPr="00691490">
        <w:rPr>
          <w:rFonts w:cstheme="minorHAnsi"/>
          <w:sz w:val="24"/>
          <w:szCs w:val="24"/>
        </w:rPr>
        <w:t xml:space="preserve"> stess</w:t>
      </w:r>
      <w:r>
        <w:rPr>
          <w:rFonts w:cstheme="minorHAnsi"/>
          <w:sz w:val="24"/>
          <w:szCs w:val="24"/>
        </w:rPr>
        <w:t>o</w:t>
      </w:r>
      <w:r w:rsidR="006A21D2" w:rsidRPr="00691490">
        <w:rPr>
          <w:rFonts w:cstheme="minorHAnsi"/>
          <w:sz w:val="24"/>
          <w:szCs w:val="24"/>
        </w:rPr>
        <w:t>.</w:t>
      </w:r>
    </w:p>
    <w:p w14:paraId="2F02DCD1" w14:textId="33D422B3" w:rsidR="006A21D2" w:rsidRPr="009164B2" w:rsidRDefault="006A21D2" w:rsidP="009909B6">
      <w:pPr>
        <w:pStyle w:val="Titolo2"/>
      </w:pPr>
      <w:bookmarkStart w:id="3" w:name="_Toc140849917"/>
      <w:r w:rsidRPr="009164B2">
        <w:t>Premessa</w:t>
      </w:r>
      <w:bookmarkEnd w:id="3"/>
    </w:p>
    <w:p w14:paraId="4C573D1E" w14:textId="77777777" w:rsidR="00B62EB4" w:rsidRDefault="006A21D2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Nella “premessa” andrann</w:t>
      </w:r>
      <w:r w:rsidR="00FE0300" w:rsidRPr="00691490">
        <w:rPr>
          <w:rFonts w:cstheme="minorHAnsi"/>
          <w:sz w:val="24"/>
          <w:szCs w:val="24"/>
        </w:rPr>
        <w:t>o indicate le ragioni sottese alla predisposizione d</w:t>
      </w:r>
      <w:r w:rsidR="00B81D15" w:rsidRPr="00691490">
        <w:rPr>
          <w:rFonts w:cstheme="minorHAnsi"/>
          <w:sz w:val="24"/>
          <w:szCs w:val="24"/>
        </w:rPr>
        <w:t>el piano economico-finanziario</w:t>
      </w:r>
      <w:r w:rsidR="00527D5C" w:rsidRPr="00691490">
        <w:rPr>
          <w:rFonts w:cstheme="minorHAnsi"/>
          <w:sz w:val="24"/>
          <w:szCs w:val="24"/>
        </w:rPr>
        <w:t xml:space="preserve"> e i principali obiettivi a cui esso aspira</w:t>
      </w:r>
      <w:r w:rsidR="00FE0300" w:rsidRPr="00691490">
        <w:rPr>
          <w:rFonts w:cstheme="minorHAnsi"/>
          <w:sz w:val="24"/>
          <w:szCs w:val="24"/>
        </w:rPr>
        <w:t xml:space="preserve">. </w:t>
      </w:r>
    </w:p>
    <w:p w14:paraId="0E2A91D6" w14:textId="77777777" w:rsidR="00B62EB4" w:rsidRDefault="00FE0300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In particolare, si farà</w:t>
      </w:r>
      <w:r w:rsidR="00527D5C" w:rsidRPr="00691490">
        <w:rPr>
          <w:rFonts w:cstheme="minorHAnsi"/>
          <w:sz w:val="24"/>
          <w:szCs w:val="24"/>
        </w:rPr>
        <w:t xml:space="preserve"> preliminarmente</w:t>
      </w:r>
      <w:r w:rsidRPr="00691490">
        <w:rPr>
          <w:rFonts w:cstheme="minorHAnsi"/>
          <w:sz w:val="24"/>
          <w:szCs w:val="24"/>
        </w:rPr>
        <w:t xml:space="preserve"> riferimento al tipo di servizio non a rete</w:t>
      </w:r>
      <w:r w:rsidR="00527D5C" w:rsidRPr="00691490">
        <w:rPr>
          <w:rFonts w:cstheme="minorHAnsi"/>
          <w:sz w:val="24"/>
          <w:szCs w:val="24"/>
        </w:rPr>
        <w:t xml:space="preserve"> per la cui gestione il </w:t>
      </w:r>
      <w:r w:rsidR="00B81D15" w:rsidRPr="00691490">
        <w:rPr>
          <w:rFonts w:cstheme="minorHAnsi"/>
          <w:sz w:val="24"/>
          <w:szCs w:val="24"/>
        </w:rPr>
        <w:t>documento</w:t>
      </w:r>
      <w:r w:rsidR="00527D5C" w:rsidRPr="00691490">
        <w:rPr>
          <w:rFonts w:cstheme="minorHAnsi"/>
          <w:sz w:val="24"/>
          <w:szCs w:val="24"/>
        </w:rPr>
        <w:t xml:space="preserve"> viene redatto</w:t>
      </w:r>
      <w:r w:rsidRPr="00691490">
        <w:rPr>
          <w:rFonts w:cstheme="minorHAnsi"/>
          <w:sz w:val="24"/>
          <w:szCs w:val="24"/>
        </w:rPr>
        <w:t xml:space="preserve">. </w:t>
      </w:r>
    </w:p>
    <w:p w14:paraId="6C440511" w14:textId="3A7AA577" w:rsidR="006A21D2" w:rsidRPr="00691490" w:rsidRDefault="00FE0300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In secondo luogo, verrà fornita indicazione della forma di gestione del servizio pubblico locale</w:t>
      </w:r>
      <w:r w:rsidR="00B81D15" w:rsidRPr="00691490">
        <w:rPr>
          <w:rFonts w:cstheme="minorHAnsi"/>
          <w:sz w:val="24"/>
          <w:szCs w:val="24"/>
        </w:rPr>
        <w:t xml:space="preserve"> adottata</w:t>
      </w:r>
      <w:r w:rsidRPr="00691490">
        <w:rPr>
          <w:rFonts w:cstheme="minorHAnsi"/>
          <w:sz w:val="24"/>
          <w:szCs w:val="24"/>
        </w:rPr>
        <w:t>, optando per una delle modalità previste dal D.lgs. 201/2022 agli art. 14 e seguenti. In particolare, quest’ultime risultano essere le seguenti:</w:t>
      </w:r>
    </w:p>
    <w:p w14:paraId="11612057" w14:textId="159A3D84" w:rsidR="00FE0300" w:rsidRPr="00691490" w:rsidRDefault="00FE0300" w:rsidP="009909B6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Affidamento a terzi mediante procedura a evidenza pubblica;</w:t>
      </w:r>
    </w:p>
    <w:p w14:paraId="5936A63A" w14:textId="614964C3" w:rsidR="00FE0300" w:rsidRPr="00691490" w:rsidRDefault="00FE0300" w:rsidP="009909B6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Affidamento a società mista;</w:t>
      </w:r>
    </w:p>
    <w:p w14:paraId="57AB84F3" w14:textId="6A6C907E" w:rsidR="00FE0300" w:rsidRPr="00691490" w:rsidRDefault="00FE0300" w:rsidP="009909B6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Affidamento a società </w:t>
      </w:r>
      <w:r w:rsidRPr="00691490">
        <w:rPr>
          <w:rFonts w:cstheme="minorHAnsi"/>
          <w:i/>
          <w:iCs/>
          <w:sz w:val="24"/>
          <w:szCs w:val="24"/>
        </w:rPr>
        <w:t>in house</w:t>
      </w:r>
      <w:r w:rsidRPr="00691490">
        <w:rPr>
          <w:rFonts w:cstheme="minorHAnsi"/>
          <w:sz w:val="24"/>
          <w:szCs w:val="24"/>
        </w:rPr>
        <w:t>;</w:t>
      </w:r>
    </w:p>
    <w:p w14:paraId="61F024A3" w14:textId="21FB73DB" w:rsidR="00FE0300" w:rsidRDefault="00FE0300" w:rsidP="009909B6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Gestione in economica o mediante aziende speciali di cui all’articolo 114 del testo unico delle leggi sull’ordinamento degli enti locali di cui al D.lgs. 267/2000.</w:t>
      </w:r>
    </w:p>
    <w:p w14:paraId="469864FC" w14:textId="130BE298" w:rsidR="00157E27" w:rsidRPr="00157E27" w:rsidRDefault="00157E27" w:rsidP="00891EE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A5F20">
        <w:rPr>
          <w:rFonts w:cstheme="minorHAnsi"/>
          <w:sz w:val="24"/>
          <w:szCs w:val="24"/>
        </w:rPr>
        <w:t>Risulta necessario precisare che spetta all’ente locali e agli altri enti competent</w:t>
      </w:r>
      <w:r w:rsidR="00C147C2" w:rsidRPr="00FA5F20">
        <w:rPr>
          <w:rFonts w:cstheme="minorHAnsi"/>
          <w:sz w:val="24"/>
          <w:szCs w:val="24"/>
        </w:rPr>
        <w:t>i</w:t>
      </w:r>
      <w:r w:rsidRPr="00FA5F20">
        <w:rPr>
          <w:rFonts w:cstheme="minorHAnsi"/>
          <w:sz w:val="24"/>
          <w:szCs w:val="24"/>
        </w:rPr>
        <w:t xml:space="preserve"> determinare la durata dell’affidamento del servizio pubblico locale non a rete. Tale termine, così come stabilito dall</w:t>
      </w:r>
      <w:r w:rsidR="00354FDE" w:rsidRPr="00FA5F20">
        <w:rPr>
          <w:rFonts w:cstheme="minorHAnsi"/>
          <w:sz w:val="24"/>
          <w:szCs w:val="24"/>
        </w:rPr>
        <w:t>’articolo 19, comma 1</w:t>
      </w:r>
      <w:r w:rsidR="00C147C2" w:rsidRPr="00FA5F20">
        <w:rPr>
          <w:rFonts w:cstheme="minorHAnsi"/>
          <w:sz w:val="24"/>
          <w:szCs w:val="24"/>
        </w:rPr>
        <w:t xml:space="preserve"> del D.lgs</w:t>
      </w:r>
      <w:r w:rsidR="00891EE8">
        <w:rPr>
          <w:rFonts w:cstheme="minorHAnsi"/>
          <w:sz w:val="24"/>
          <w:szCs w:val="24"/>
        </w:rPr>
        <w:t>.</w:t>
      </w:r>
      <w:r w:rsidR="00C147C2" w:rsidRPr="00FA5F20">
        <w:rPr>
          <w:rFonts w:cstheme="minorHAnsi"/>
          <w:sz w:val="24"/>
          <w:szCs w:val="24"/>
        </w:rPr>
        <w:t xml:space="preserve"> 201/</w:t>
      </w:r>
      <w:r w:rsidR="00FA5F20" w:rsidRPr="00FA5F20">
        <w:rPr>
          <w:rFonts w:cstheme="minorHAnsi"/>
          <w:sz w:val="24"/>
          <w:szCs w:val="24"/>
        </w:rPr>
        <w:t>2022, non</w:t>
      </w:r>
      <w:r w:rsidRPr="00FA5F20">
        <w:rPr>
          <w:rFonts w:cstheme="minorHAnsi"/>
          <w:sz w:val="24"/>
          <w:szCs w:val="24"/>
        </w:rPr>
        <w:t xml:space="preserve"> può essere fissato in misura superiore al periodo necessario </w:t>
      </w:r>
      <w:r w:rsidR="00354FDE" w:rsidRPr="00FA5F20">
        <w:rPr>
          <w:rFonts w:cstheme="minorHAnsi"/>
          <w:sz w:val="24"/>
          <w:szCs w:val="24"/>
        </w:rPr>
        <w:t xml:space="preserve">ad ammortizzare gli investimenti previsti al momento dell’affidamento e riportati nel contratto di servizio. Per i servizi pubblici locali non a rete viene fatta un’ulteriore specificazione, ovvero che nel caso in cui l’affidamento avvenga attraverso società </w:t>
      </w:r>
      <w:r w:rsidR="00354FDE" w:rsidRPr="00FA5F20">
        <w:rPr>
          <w:rFonts w:cstheme="minorHAnsi"/>
          <w:i/>
          <w:iCs/>
          <w:sz w:val="24"/>
          <w:szCs w:val="24"/>
        </w:rPr>
        <w:t xml:space="preserve">in </w:t>
      </w:r>
      <w:r w:rsidR="00C147C2" w:rsidRPr="00FA5F20">
        <w:rPr>
          <w:rFonts w:cstheme="minorHAnsi"/>
          <w:i/>
          <w:iCs/>
          <w:sz w:val="24"/>
          <w:szCs w:val="24"/>
        </w:rPr>
        <w:t>house</w:t>
      </w:r>
      <w:r w:rsidR="00C147C2" w:rsidRPr="00FA5F20">
        <w:rPr>
          <w:rFonts w:cstheme="minorHAnsi"/>
          <w:sz w:val="24"/>
          <w:szCs w:val="24"/>
        </w:rPr>
        <w:t>,</w:t>
      </w:r>
      <w:r w:rsidR="00354FDE" w:rsidRPr="00FA5F20">
        <w:rPr>
          <w:rFonts w:cstheme="minorHAnsi"/>
          <w:sz w:val="24"/>
          <w:szCs w:val="24"/>
        </w:rPr>
        <w:t xml:space="preserve"> quest’ultimo non può avere una durata superiore a cinque anni, salvo che tale deroga sia supportata da valide giustificazioni</w:t>
      </w:r>
      <w:r w:rsidR="00B62EB4">
        <w:rPr>
          <w:rFonts w:cstheme="minorHAnsi"/>
          <w:sz w:val="24"/>
          <w:szCs w:val="24"/>
        </w:rPr>
        <w:t xml:space="preserve"> ed in particolare per </w:t>
      </w:r>
      <w:r w:rsidR="00B62EB4" w:rsidRPr="00891EE8">
        <w:rPr>
          <w:rFonts w:cstheme="minorHAnsi"/>
          <w:sz w:val="24"/>
          <w:szCs w:val="24"/>
        </w:rPr>
        <w:t>“assicurare l'ammortamento degli investimenti”.</w:t>
      </w:r>
    </w:p>
    <w:p w14:paraId="65AFDD72" w14:textId="215EA234" w:rsidR="00527D5C" w:rsidRDefault="00527D5C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Sarà necessario specificare </w:t>
      </w:r>
      <w:r w:rsidR="00B81D15" w:rsidRPr="00691490">
        <w:rPr>
          <w:rFonts w:cstheme="minorHAnsi"/>
          <w:sz w:val="24"/>
          <w:szCs w:val="24"/>
        </w:rPr>
        <w:t xml:space="preserve">poi </w:t>
      </w:r>
      <w:r w:rsidRPr="00691490">
        <w:rPr>
          <w:rFonts w:cstheme="minorHAnsi"/>
          <w:sz w:val="24"/>
          <w:szCs w:val="24"/>
        </w:rPr>
        <w:t>che l’obiettivo del piano è quello di dar</w:t>
      </w:r>
      <w:r w:rsidR="009D5B2E" w:rsidRPr="00691490">
        <w:rPr>
          <w:rFonts w:cstheme="minorHAnsi"/>
          <w:sz w:val="24"/>
          <w:szCs w:val="24"/>
        </w:rPr>
        <w:t>e</w:t>
      </w:r>
      <w:r w:rsidRPr="00691490">
        <w:rPr>
          <w:rFonts w:cstheme="minorHAnsi"/>
          <w:sz w:val="24"/>
          <w:szCs w:val="24"/>
        </w:rPr>
        <w:t xml:space="preserve"> dimostrazione della concreta capacità del soggetto affida</w:t>
      </w:r>
      <w:r w:rsidR="005A2DCB">
        <w:rPr>
          <w:rFonts w:cstheme="minorHAnsi"/>
          <w:sz w:val="24"/>
          <w:szCs w:val="24"/>
        </w:rPr>
        <w:t>tario</w:t>
      </w:r>
      <w:r w:rsidRPr="00691490">
        <w:rPr>
          <w:rFonts w:cstheme="minorHAnsi"/>
          <w:sz w:val="24"/>
          <w:szCs w:val="24"/>
        </w:rPr>
        <w:t xml:space="preserve"> di poter eseguire in maniera corretta le prestazioni </w:t>
      </w:r>
      <w:r w:rsidR="00B81D15" w:rsidRPr="00691490">
        <w:rPr>
          <w:rFonts w:cstheme="minorHAnsi"/>
          <w:sz w:val="24"/>
          <w:szCs w:val="24"/>
        </w:rPr>
        <w:t xml:space="preserve">di servizio </w:t>
      </w:r>
      <w:r w:rsidRPr="00691490">
        <w:rPr>
          <w:rFonts w:cstheme="minorHAnsi"/>
          <w:sz w:val="24"/>
          <w:szCs w:val="24"/>
        </w:rPr>
        <w:t>per il periodo di gestione del</w:t>
      </w:r>
      <w:r w:rsidR="00B81D15" w:rsidRPr="00691490">
        <w:rPr>
          <w:rFonts w:cstheme="minorHAnsi"/>
          <w:sz w:val="24"/>
          <w:szCs w:val="24"/>
        </w:rPr>
        <w:t>l</w:t>
      </w:r>
      <w:r w:rsidRPr="00691490">
        <w:rPr>
          <w:rFonts w:cstheme="minorHAnsi"/>
          <w:sz w:val="24"/>
          <w:szCs w:val="24"/>
        </w:rPr>
        <w:t>o</w:t>
      </w:r>
      <w:r w:rsidR="00B81D15" w:rsidRPr="00691490">
        <w:rPr>
          <w:rFonts w:cstheme="minorHAnsi"/>
          <w:sz w:val="24"/>
          <w:szCs w:val="24"/>
        </w:rPr>
        <w:t xml:space="preserve"> stesso</w:t>
      </w:r>
      <w:r w:rsidRPr="00691490">
        <w:rPr>
          <w:rFonts w:cstheme="minorHAnsi"/>
          <w:sz w:val="24"/>
          <w:szCs w:val="24"/>
        </w:rPr>
        <w:t>. Tale rappresentazione avviene dando evidenza dell’adeguatezza dell’offerta e della sua concreta ed effettiva realizzabilità. Si deve, in altre parole, fornire la rappresentazione della convenienza economica e della sostenibilità finanziaria</w:t>
      </w:r>
      <w:r w:rsidR="00B81D15" w:rsidRPr="00691490">
        <w:rPr>
          <w:rFonts w:cstheme="minorHAnsi"/>
          <w:sz w:val="24"/>
          <w:szCs w:val="24"/>
        </w:rPr>
        <w:t xml:space="preserve"> del progetto</w:t>
      </w:r>
      <w:r w:rsidRPr="00691490">
        <w:rPr>
          <w:rFonts w:cstheme="minorHAnsi"/>
          <w:sz w:val="24"/>
          <w:szCs w:val="24"/>
        </w:rPr>
        <w:t>, quindi dell’effettiva capacità della gestione del servizio di creare valore nel corso del tempo e di generare flussi di cassa che garantiscano il rimborso del finanziamento</w:t>
      </w:r>
      <w:r w:rsidR="001D1654" w:rsidRPr="00691490">
        <w:rPr>
          <w:rFonts w:cstheme="minorHAnsi"/>
          <w:sz w:val="24"/>
          <w:szCs w:val="24"/>
        </w:rPr>
        <w:t xml:space="preserve"> degli investimenti sostenuti</w:t>
      </w:r>
      <w:r w:rsidRPr="00691490">
        <w:rPr>
          <w:rFonts w:cstheme="minorHAnsi"/>
          <w:sz w:val="24"/>
          <w:szCs w:val="24"/>
        </w:rPr>
        <w:t>.</w:t>
      </w:r>
    </w:p>
    <w:p w14:paraId="7F494789" w14:textId="4A74867E" w:rsidR="00B62EB4" w:rsidRDefault="00B62EB4" w:rsidP="009909B6">
      <w:pPr>
        <w:jc w:val="both"/>
        <w:rPr>
          <w:rFonts w:cstheme="minorHAnsi"/>
          <w:sz w:val="24"/>
          <w:szCs w:val="24"/>
        </w:rPr>
      </w:pPr>
      <w:r w:rsidRPr="00891EE8">
        <w:rPr>
          <w:rFonts w:cstheme="minorHAnsi"/>
          <w:sz w:val="24"/>
          <w:szCs w:val="24"/>
        </w:rPr>
        <w:t>Il</w:t>
      </w:r>
      <w:r w:rsidR="00B002E6" w:rsidRPr="00891EE8">
        <w:rPr>
          <w:rFonts w:cstheme="minorHAnsi"/>
          <w:sz w:val="24"/>
          <w:szCs w:val="24"/>
        </w:rPr>
        <w:t xml:space="preserve"> Piano dovrà </w:t>
      </w:r>
      <w:r w:rsidR="00952352" w:rsidRPr="00891EE8">
        <w:rPr>
          <w:rFonts w:cstheme="minorHAnsi"/>
          <w:sz w:val="24"/>
          <w:szCs w:val="24"/>
        </w:rPr>
        <w:t>essere coerente</w:t>
      </w:r>
      <w:r w:rsidRPr="00891EE8">
        <w:rPr>
          <w:rFonts w:cstheme="minorHAnsi"/>
          <w:sz w:val="24"/>
          <w:szCs w:val="24"/>
        </w:rPr>
        <w:t>, nel caso di affidamenti in house,</w:t>
      </w:r>
      <w:r w:rsidR="00952352" w:rsidRPr="00891EE8">
        <w:rPr>
          <w:rFonts w:cstheme="minorHAnsi"/>
          <w:sz w:val="24"/>
          <w:szCs w:val="24"/>
        </w:rPr>
        <w:t xml:space="preserve"> con quanto definito dall’ente nella qualificata motivazione contenuta nella delibera di affidamento del servizio di cui all’art. </w:t>
      </w:r>
      <w:r w:rsidRPr="00891EE8">
        <w:rPr>
          <w:rFonts w:cstheme="minorHAnsi"/>
          <w:sz w:val="24"/>
          <w:szCs w:val="24"/>
        </w:rPr>
        <w:t>17</w:t>
      </w:r>
      <w:r w:rsidR="00952352" w:rsidRPr="00891EE8">
        <w:rPr>
          <w:rFonts w:cstheme="minorHAnsi"/>
          <w:sz w:val="24"/>
          <w:szCs w:val="24"/>
        </w:rPr>
        <w:t xml:space="preserve">, comma 2, del d.lgs. 201/2022, in relazione ai </w:t>
      </w:r>
      <w:r w:rsidR="005A2DCB" w:rsidRPr="00891EE8">
        <w:rPr>
          <w:rFonts w:cstheme="minorHAnsi"/>
          <w:sz w:val="24"/>
          <w:szCs w:val="24"/>
        </w:rPr>
        <w:t>benefici per la collettivit</w:t>
      </w:r>
      <w:r w:rsidR="00194EAB" w:rsidRPr="00891EE8">
        <w:rPr>
          <w:rFonts w:cstheme="minorHAnsi"/>
          <w:sz w:val="24"/>
          <w:szCs w:val="24"/>
        </w:rPr>
        <w:t>à</w:t>
      </w:r>
      <w:r w:rsidR="00B002E6" w:rsidRPr="00891EE8">
        <w:rPr>
          <w:rFonts w:cstheme="minorHAnsi"/>
          <w:sz w:val="24"/>
          <w:szCs w:val="24"/>
        </w:rPr>
        <w:t xml:space="preserve"> </w:t>
      </w:r>
      <w:r w:rsidR="005A2DCB" w:rsidRPr="00891EE8">
        <w:rPr>
          <w:rFonts w:cstheme="minorHAnsi"/>
          <w:sz w:val="24"/>
          <w:szCs w:val="24"/>
        </w:rPr>
        <w:t xml:space="preserve">con riguardo agli investimenti, alla </w:t>
      </w:r>
      <w:r w:rsidR="00194EAB" w:rsidRPr="00891EE8">
        <w:rPr>
          <w:rFonts w:cstheme="minorHAnsi"/>
          <w:sz w:val="24"/>
          <w:szCs w:val="24"/>
        </w:rPr>
        <w:t>qualità</w:t>
      </w:r>
      <w:r w:rsidR="005A2DCB" w:rsidRPr="00891EE8">
        <w:rPr>
          <w:rFonts w:cstheme="minorHAnsi"/>
          <w:sz w:val="24"/>
          <w:szCs w:val="24"/>
        </w:rPr>
        <w:t xml:space="preserve"> del servizio,</w:t>
      </w:r>
      <w:r w:rsidR="00B002E6" w:rsidRPr="00891EE8">
        <w:rPr>
          <w:rFonts w:cstheme="minorHAnsi"/>
          <w:sz w:val="24"/>
          <w:szCs w:val="24"/>
        </w:rPr>
        <w:t xml:space="preserve"> </w:t>
      </w:r>
      <w:r w:rsidR="005A2DCB" w:rsidRPr="00891EE8">
        <w:rPr>
          <w:rFonts w:cstheme="minorHAnsi"/>
          <w:sz w:val="24"/>
          <w:szCs w:val="24"/>
        </w:rPr>
        <w:t>ai costi dei servizi per gli utenti, all'impatto sulla finanza</w:t>
      </w:r>
      <w:r w:rsidR="00B002E6" w:rsidRPr="00891EE8">
        <w:rPr>
          <w:rFonts w:cstheme="minorHAnsi"/>
          <w:sz w:val="24"/>
          <w:szCs w:val="24"/>
        </w:rPr>
        <w:t xml:space="preserve"> </w:t>
      </w:r>
      <w:r w:rsidR="005A2DCB" w:rsidRPr="00891EE8">
        <w:rPr>
          <w:rFonts w:cstheme="minorHAnsi"/>
          <w:sz w:val="24"/>
          <w:szCs w:val="24"/>
        </w:rPr>
        <w:t xml:space="preserve">pubblica, </w:t>
      </w:r>
      <w:r w:rsidR="00194EAB" w:rsidRPr="00891EE8">
        <w:rPr>
          <w:rFonts w:cstheme="minorHAnsi"/>
          <w:sz w:val="24"/>
          <w:szCs w:val="24"/>
        </w:rPr>
        <w:t>nonché</w:t>
      </w:r>
      <w:r w:rsidR="005A2DCB" w:rsidRPr="00891EE8">
        <w:rPr>
          <w:rFonts w:cstheme="minorHAnsi"/>
          <w:sz w:val="24"/>
          <w:szCs w:val="24"/>
        </w:rPr>
        <w:t xml:space="preserve"> agli obiettivi di universalit</w:t>
      </w:r>
      <w:r w:rsidR="00194EAB" w:rsidRPr="00891EE8">
        <w:rPr>
          <w:rFonts w:cstheme="minorHAnsi"/>
          <w:sz w:val="24"/>
          <w:szCs w:val="24"/>
        </w:rPr>
        <w:t>à</w:t>
      </w:r>
      <w:r w:rsidR="005A2DCB" w:rsidRPr="00891EE8">
        <w:rPr>
          <w:rFonts w:cstheme="minorHAnsi"/>
          <w:sz w:val="24"/>
          <w:szCs w:val="24"/>
        </w:rPr>
        <w:t>, socialit</w:t>
      </w:r>
      <w:r w:rsidR="00194EAB" w:rsidRPr="00891EE8">
        <w:rPr>
          <w:rFonts w:cstheme="minorHAnsi"/>
          <w:sz w:val="24"/>
          <w:szCs w:val="24"/>
        </w:rPr>
        <w:t>à</w:t>
      </w:r>
      <w:r w:rsidR="005A2DCB" w:rsidRPr="00891EE8">
        <w:rPr>
          <w:rFonts w:cstheme="minorHAnsi"/>
          <w:sz w:val="24"/>
          <w:szCs w:val="24"/>
        </w:rPr>
        <w:t>, tutela</w:t>
      </w:r>
      <w:r w:rsidR="00B002E6" w:rsidRPr="00891EE8">
        <w:rPr>
          <w:rFonts w:cstheme="minorHAnsi"/>
          <w:sz w:val="24"/>
          <w:szCs w:val="24"/>
        </w:rPr>
        <w:t xml:space="preserve"> </w:t>
      </w:r>
      <w:r w:rsidR="005A2DCB" w:rsidRPr="00891EE8">
        <w:rPr>
          <w:rFonts w:cstheme="minorHAnsi"/>
          <w:sz w:val="24"/>
          <w:szCs w:val="24"/>
        </w:rPr>
        <w:t>dell'ambiente e accessibilit</w:t>
      </w:r>
      <w:r w:rsidR="00194EAB" w:rsidRPr="00891EE8">
        <w:rPr>
          <w:rFonts w:cstheme="minorHAnsi"/>
          <w:sz w:val="24"/>
          <w:szCs w:val="24"/>
        </w:rPr>
        <w:t>à</w:t>
      </w:r>
      <w:r w:rsidRPr="00EF3B05">
        <w:rPr>
          <w:rFonts w:cstheme="minorHAnsi"/>
          <w:sz w:val="24"/>
          <w:szCs w:val="24"/>
        </w:rPr>
        <w:t>.</w:t>
      </w:r>
    </w:p>
    <w:p w14:paraId="46815A50" w14:textId="6E1CE0A6" w:rsidR="005A2DCB" w:rsidRDefault="00B62EB4" w:rsidP="009909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ricorda che nel caso di procedura competitiva il PEF non è di competenza della pubblica amministrazione affidante</w:t>
      </w:r>
      <w:r w:rsidR="006910E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quanto del soggetto privato. </w:t>
      </w:r>
      <w:r w:rsidR="00C60C01">
        <w:rPr>
          <w:rFonts w:cstheme="minorHAnsi"/>
          <w:sz w:val="24"/>
          <w:szCs w:val="24"/>
        </w:rPr>
        <w:t xml:space="preserve"> Infatti, ai sensi dell’art. 14, c</w:t>
      </w:r>
      <w:r w:rsidR="00CF691D">
        <w:rPr>
          <w:rFonts w:cstheme="minorHAnsi"/>
          <w:sz w:val="24"/>
          <w:szCs w:val="24"/>
        </w:rPr>
        <w:t>omma</w:t>
      </w:r>
      <w:r w:rsidR="00C60C01">
        <w:rPr>
          <w:rFonts w:cstheme="minorHAnsi"/>
          <w:sz w:val="24"/>
          <w:szCs w:val="24"/>
        </w:rPr>
        <w:t xml:space="preserve"> 4, che si riferisce in ogni caso ai soli servizi a rete</w:t>
      </w:r>
      <w:r w:rsidR="00CF691D">
        <w:rPr>
          <w:rFonts w:cstheme="minorHAnsi"/>
          <w:sz w:val="24"/>
          <w:szCs w:val="24"/>
        </w:rPr>
        <w:t>,</w:t>
      </w:r>
      <w:r w:rsidR="00C60C01">
        <w:rPr>
          <w:rFonts w:cstheme="minorHAnsi"/>
          <w:sz w:val="24"/>
          <w:szCs w:val="24"/>
        </w:rPr>
        <w:t xml:space="preserve"> “</w:t>
      </w:r>
      <w:r w:rsidR="00C60C01" w:rsidRPr="00CF691D">
        <w:rPr>
          <w:rFonts w:cstheme="minorHAnsi"/>
          <w:i/>
          <w:iCs/>
          <w:sz w:val="24"/>
          <w:szCs w:val="24"/>
        </w:rPr>
        <w:t>Al fine di assicurare la realizzazione degli interventi infrastrutturali necessari da parte del soggetto affidatario, nei servizi pubblici locali a rete, gli enti di governo dell'ambito integrano la relazione di cui al comma 3 allegando il piano economico-finanziario acquisito all'esito della procedura, che, fatte salve le disposizioni di settore, contiene anche la proiezione, per il periodo di durata dell'affidamento, dei costi e dei ricavi, degli investimenti e dei relativi finanziamenti</w:t>
      </w:r>
      <w:r w:rsidR="00C60C01" w:rsidRPr="00CF691D">
        <w:rPr>
          <w:rFonts w:cstheme="minorHAnsi"/>
          <w:sz w:val="24"/>
          <w:szCs w:val="24"/>
        </w:rPr>
        <w:t xml:space="preserve">”. </w:t>
      </w:r>
    </w:p>
    <w:p w14:paraId="2903DE3F" w14:textId="111CCCCE" w:rsidR="00325C94" w:rsidRPr="00691490" w:rsidRDefault="00325C94" w:rsidP="009909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durate inferiori ai 5 anni il PEF è facoltativo</w:t>
      </w:r>
      <w:r w:rsidR="00715310">
        <w:rPr>
          <w:rFonts w:cstheme="minorHAnsi"/>
          <w:sz w:val="24"/>
          <w:szCs w:val="24"/>
        </w:rPr>
        <w:t>, salvo che non sia diversamente stabilito dalla legge</w:t>
      </w:r>
      <w:r w:rsidR="00CF691D">
        <w:rPr>
          <w:rFonts w:cstheme="minorHAnsi"/>
          <w:sz w:val="24"/>
          <w:szCs w:val="24"/>
        </w:rPr>
        <w:t xml:space="preserve"> o da disposizioni di settore</w:t>
      </w:r>
      <w:r>
        <w:rPr>
          <w:rFonts w:cstheme="minorHAnsi"/>
          <w:sz w:val="24"/>
          <w:szCs w:val="24"/>
        </w:rPr>
        <w:t>.</w:t>
      </w:r>
    </w:p>
    <w:p w14:paraId="5D2AD7A1" w14:textId="43630178" w:rsidR="006A21D2" w:rsidRPr="00691490" w:rsidRDefault="006A21D2" w:rsidP="009909B6">
      <w:pPr>
        <w:pStyle w:val="Titolo2"/>
      </w:pPr>
      <w:bookmarkStart w:id="4" w:name="_Toc140849918"/>
      <w:r w:rsidRPr="00691490">
        <w:t>Natura e descrizione del servizio</w:t>
      </w:r>
      <w:bookmarkEnd w:id="4"/>
    </w:p>
    <w:p w14:paraId="1C4C6129" w14:textId="0705ED93" w:rsidR="006F33AD" w:rsidRPr="00952352" w:rsidRDefault="00FE0300" w:rsidP="00CF691D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In tale paragrafo verrà effettuata un’analisi del servizio pubblico locale non a rete oggetto del </w:t>
      </w:r>
      <w:r w:rsidR="00194EAB">
        <w:rPr>
          <w:rFonts w:cstheme="minorHAnsi"/>
          <w:sz w:val="24"/>
          <w:szCs w:val="24"/>
        </w:rPr>
        <w:t>P</w:t>
      </w:r>
      <w:r w:rsidRPr="00691490">
        <w:rPr>
          <w:rFonts w:cstheme="minorHAnsi"/>
          <w:sz w:val="24"/>
          <w:szCs w:val="24"/>
        </w:rPr>
        <w:t xml:space="preserve">iano, </w:t>
      </w:r>
      <w:r w:rsidR="00FF7A52">
        <w:rPr>
          <w:rFonts w:cstheme="minorHAnsi"/>
          <w:sz w:val="24"/>
          <w:szCs w:val="24"/>
        </w:rPr>
        <w:t>fornendo</w:t>
      </w:r>
      <w:r w:rsidR="00527D5C" w:rsidRPr="00691490">
        <w:rPr>
          <w:rFonts w:cstheme="minorHAnsi"/>
          <w:sz w:val="24"/>
          <w:szCs w:val="24"/>
        </w:rPr>
        <w:t xml:space="preserve"> una descrizione delle caratteristiche tecniche ed economiche del servizio</w:t>
      </w:r>
      <w:r w:rsidR="00B43E56">
        <w:rPr>
          <w:rFonts w:cstheme="minorHAnsi"/>
          <w:sz w:val="24"/>
          <w:szCs w:val="24"/>
        </w:rPr>
        <w:t xml:space="preserve"> e prevedendo </w:t>
      </w:r>
      <w:r w:rsidR="00D4604C" w:rsidRPr="00B43E56">
        <w:rPr>
          <w:rFonts w:cstheme="minorHAnsi"/>
          <w:sz w:val="24"/>
          <w:szCs w:val="24"/>
        </w:rPr>
        <w:t>previsioni dirette ad assicurare, per tutta la durata</w:t>
      </w:r>
      <w:r w:rsidR="00B43E56" w:rsidRPr="00B43E56">
        <w:rPr>
          <w:rFonts w:cstheme="minorHAnsi"/>
          <w:sz w:val="24"/>
          <w:szCs w:val="24"/>
        </w:rPr>
        <w:t xml:space="preserve"> </w:t>
      </w:r>
      <w:r w:rsidR="00D4604C" w:rsidRPr="00B43E56">
        <w:rPr>
          <w:rFonts w:cstheme="minorHAnsi"/>
          <w:sz w:val="24"/>
          <w:szCs w:val="24"/>
        </w:rPr>
        <w:t>dell'affidamento, l'assolvimento degli obblighi di servizio pubblico,</w:t>
      </w:r>
      <w:r w:rsidR="00B43E56" w:rsidRPr="00B43E56">
        <w:rPr>
          <w:rFonts w:cstheme="minorHAnsi"/>
          <w:sz w:val="24"/>
          <w:szCs w:val="24"/>
        </w:rPr>
        <w:t xml:space="preserve"> </w:t>
      </w:r>
      <w:r w:rsidR="00D4604C" w:rsidRPr="00B43E56">
        <w:rPr>
          <w:rFonts w:cstheme="minorHAnsi"/>
          <w:sz w:val="24"/>
          <w:szCs w:val="24"/>
        </w:rPr>
        <w:t>nonch</w:t>
      </w:r>
      <w:r w:rsidR="00B43E56" w:rsidRPr="00B43E56">
        <w:rPr>
          <w:rFonts w:cstheme="minorHAnsi"/>
          <w:sz w:val="24"/>
          <w:szCs w:val="24"/>
        </w:rPr>
        <w:t>é</w:t>
      </w:r>
      <w:r w:rsidR="00D4604C" w:rsidRPr="00B43E56">
        <w:rPr>
          <w:rFonts w:cstheme="minorHAnsi"/>
          <w:sz w:val="24"/>
          <w:szCs w:val="24"/>
        </w:rPr>
        <w:t xml:space="preserve"> l'equilibrio economico-finanziario della gestione secondo</w:t>
      </w:r>
      <w:r w:rsidR="00B43E56" w:rsidRPr="00B43E56">
        <w:rPr>
          <w:rFonts w:cstheme="minorHAnsi"/>
          <w:sz w:val="24"/>
          <w:szCs w:val="24"/>
        </w:rPr>
        <w:t xml:space="preserve"> </w:t>
      </w:r>
      <w:r w:rsidR="00D4604C" w:rsidRPr="00B43E56">
        <w:rPr>
          <w:rFonts w:cstheme="minorHAnsi"/>
          <w:sz w:val="24"/>
          <w:szCs w:val="24"/>
        </w:rPr>
        <w:t>criteri di efficienza, promuovendo il progressivo miglioramento dello</w:t>
      </w:r>
      <w:r w:rsidR="00B43E56">
        <w:rPr>
          <w:rFonts w:cstheme="minorHAnsi"/>
          <w:sz w:val="24"/>
          <w:szCs w:val="24"/>
        </w:rPr>
        <w:t xml:space="preserve"> </w:t>
      </w:r>
      <w:r w:rsidR="00D4604C" w:rsidRPr="00B43E56">
        <w:rPr>
          <w:rFonts w:cstheme="minorHAnsi"/>
          <w:sz w:val="24"/>
          <w:szCs w:val="24"/>
        </w:rPr>
        <w:t>stato delle infrastrutture e della qualit</w:t>
      </w:r>
      <w:r w:rsidR="00B43E56" w:rsidRPr="00B43E56">
        <w:rPr>
          <w:rFonts w:cstheme="minorHAnsi"/>
          <w:sz w:val="24"/>
          <w:szCs w:val="24"/>
        </w:rPr>
        <w:t>à</w:t>
      </w:r>
      <w:r w:rsidR="00D4604C" w:rsidRPr="00B43E56">
        <w:rPr>
          <w:rFonts w:cstheme="minorHAnsi"/>
          <w:sz w:val="24"/>
          <w:szCs w:val="24"/>
        </w:rPr>
        <w:t xml:space="preserve"> delle prestazioni</w:t>
      </w:r>
      <w:r w:rsidR="00B43E56" w:rsidRPr="00B43E56">
        <w:rPr>
          <w:rFonts w:cstheme="minorHAnsi"/>
          <w:sz w:val="24"/>
          <w:szCs w:val="24"/>
        </w:rPr>
        <w:t xml:space="preserve"> </w:t>
      </w:r>
      <w:r w:rsidR="00D4604C" w:rsidRPr="00B43E56">
        <w:rPr>
          <w:rFonts w:cstheme="minorHAnsi"/>
          <w:sz w:val="24"/>
          <w:szCs w:val="24"/>
        </w:rPr>
        <w:t>erogate.</w:t>
      </w:r>
      <w:r w:rsidR="00527D5C" w:rsidRPr="00691490">
        <w:rPr>
          <w:rFonts w:cstheme="minorHAnsi"/>
          <w:sz w:val="24"/>
          <w:szCs w:val="24"/>
        </w:rPr>
        <w:t xml:space="preserve"> </w:t>
      </w:r>
    </w:p>
    <w:p w14:paraId="28C7DDBC" w14:textId="01E3BF34" w:rsidR="006A21D2" w:rsidRPr="00691490" w:rsidRDefault="006A21D2" w:rsidP="009909B6">
      <w:pPr>
        <w:pStyle w:val="Titolo2"/>
      </w:pPr>
      <w:bookmarkStart w:id="5" w:name="_Toc140849919"/>
      <w:r w:rsidRPr="00691490">
        <w:t>Assunzioni del piano</w:t>
      </w:r>
      <w:bookmarkEnd w:id="5"/>
    </w:p>
    <w:p w14:paraId="192AE0D8" w14:textId="3A972DED" w:rsidR="00527D5C" w:rsidRPr="00691490" w:rsidRDefault="00A06033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Tale sezione conterrà indicazione dell’inquadramento giuridico e normativo che caratterizza la gestione del servizio pubblico locale non rete. </w:t>
      </w:r>
    </w:p>
    <w:p w14:paraId="54C9A028" w14:textId="1A369F73" w:rsidR="00A06033" w:rsidRPr="00691490" w:rsidRDefault="00A06033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In particolare, dopo aver fatto riferimento alla generica nozione di servizio pubblico locale a rilevanza economica non rete ai sensi del </w:t>
      </w:r>
      <w:r w:rsidR="004749CA" w:rsidRPr="00691490">
        <w:rPr>
          <w:rFonts w:cstheme="minorHAnsi"/>
          <w:sz w:val="24"/>
          <w:szCs w:val="24"/>
        </w:rPr>
        <w:t>D.lgs.</w:t>
      </w:r>
      <w:r w:rsidRPr="00691490">
        <w:rPr>
          <w:rFonts w:cstheme="minorHAnsi"/>
          <w:sz w:val="24"/>
          <w:szCs w:val="24"/>
        </w:rPr>
        <w:t xml:space="preserve"> 201/2022  - </w:t>
      </w:r>
      <w:r w:rsidRPr="00691490">
        <w:rPr>
          <w:rFonts w:cstheme="minorHAnsi"/>
          <w:i/>
          <w:iCs/>
          <w:sz w:val="24"/>
          <w:szCs w:val="24"/>
        </w:rPr>
        <w:t xml:space="preserve">servizi erogati o suscettibili di essere erogati dietro corrispettivo economico su un mercato, che non sarebbero  svolti senza un intervento pubblico o sarebbe svolti a condizioni differenti in termini di accessibilità fisica ed economica, continuità, non discriminazione, qualità e sicurezza, che sono previsti dalla legge o che gli enti locali, nell’ambito delle proprie competenze, ritengono necessari per assicurare la soddisfazione dei bisogni delle comunità  locali, così da garantire l’omogeneità dello sviluppo e la coesione sociale”- </w:t>
      </w:r>
      <w:r w:rsidRPr="00691490">
        <w:rPr>
          <w:rFonts w:cstheme="minorHAnsi"/>
          <w:sz w:val="24"/>
          <w:szCs w:val="24"/>
        </w:rPr>
        <w:t>sarà opportuno riportare le principali norme di riferimento da osservare nella gestione dello specifico servizio pubblico locale e che ne condizionano le modalità.</w:t>
      </w:r>
    </w:p>
    <w:p w14:paraId="46547C00" w14:textId="6D2BE7C9" w:rsidR="00A06033" w:rsidRPr="00744711" w:rsidRDefault="00A06033" w:rsidP="009909B6">
      <w:pPr>
        <w:jc w:val="both"/>
        <w:rPr>
          <w:rFonts w:cstheme="minorHAnsi"/>
          <w:sz w:val="24"/>
          <w:szCs w:val="24"/>
        </w:rPr>
      </w:pPr>
      <w:r w:rsidRPr="00CF691D">
        <w:rPr>
          <w:rFonts w:cstheme="minorHAnsi"/>
          <w:sz w:val="24"/>
          <w:szCs w:val="24"/>
        </w:rPr>
        <w:t xml:space="preserve">Dopo aver fornito una ricostruzione dell’inquadramento giuridico e normativo e della sua possibile evoluzione, sarà opportuno procedere con </w:t>
      </w:r>
      <w:r w:rsidR="000C24E4" w:rsidRPr="00CF691D">
        <w:rPr>
          <w:rFonts w:cstheme="minorHAnsi"/>
          <w:sz w:val="24"/>
          <w:szCs w:val="24"/>
        </w:rPr>
        <w:t>un’analisi del contesto di riferimento. La prima porrà attenzione su tematiche di interesse generale e quindi su variabili di connotazione macroeconomica che poss</w:t>
      </w:r>
      <w:r w:rsidR="004749CA" w:rsidRPr="00CF691D">
        <w:rPr>
          <w:rFonts w:cstheme="minorHAnsi"/>
          <w:sz w:val="24"/>
          <w:szCs w:val="24"/>
        </w:rPr>
        <w:t>a</w:t>
      </w:r>
      <w:r w:rsidR="000C24E4" w:rsidRPr="00CF691D">
        <w:rPr>
          <w:rFonts w:cstheme="minorHAnsi"/>
          <w:sz w:val="24"/>
          <w:szCs w:val="24"/>
        </w:rPr>
        <w:t>no avere un impatto più o meno significativo nella gestione del</w:t>
      </w:r>
      <w:r w:rsidR="004749CA" w:rsidRPr="00CF691D">
        <w:rPr>
          <w:rFonts w:cstheme="minorHAnsi"/>
          <w:sz w:val="24"/>
          <w:szCs w:val="24"/>
        </w:rPr>
        <w:t xml:space="preserve"> servizio</w:t>
      </w:r>
      <w:r w:rsidR="000C24E4" w:rsidRPr="00CF691D">
        <w:rPr>
          <w:rFonts w:cstheme="minorHAnsi"/>
          <w:sz w:val="24"/>
          <w:szCs w:val="24"/>
        </w:rPr>
        <w:t xml:space="preserve">. </w:t>
      </w:r>
    </w:p>
    <w:p w14:paraId="7A1DEB50" w14:textId="75978B64" w:rsidR="000C24E4" w:rsidRPr="00691490" w:rsidRDefault="000C24E4" w:rsidP="009909B6">
      <w:pPr>
        <w:jc w:val="both"/>
        <w:rPr>
          <w:rFonts w:cstheme="minorHAnsi"/>
          <w:sz w:val="24"/>
          <w:szCs w:val="24"/>
        </w:rPr>
      </w:pPr>
      <w:r w:rsidRPr="00CF691D">
        <w:rPr>
          <w:rFonts w:cstheme="minorHAnsi"/>
          <w:sz w:val="24"/>
          <w:szCs w:val="24"/>
        </w:rPr>
        <w:t xml:space="preserve">A seguire sarà necessario fornire un’analisi del contesto e del mercato di riferimento. Si dovrà porre particolare attenzione al territorio all’interno del quale verrà svolto il servizio, al fine di comprenderne le caratteristiche </w:t>
      </w:r>
      <w:r w:rsidR="002A7FD9" w:rsidRPr="00CF691D">
        <w:rPr>
          <w:rFonts w:cstheme="minorHAnsi"/>
          <w:sz w:val="24"/>
          <w:szCs w:val="24"/>
        </w:rPr>
        <w:t xml:space="preserve">del bacino di utenza </w:t>
      </w:r>
      <w:r w:rsidRPr="00CF691D">
        <w:rPr>
          <w:rFonts w:cstheme="minorHAnsi"/>
          <w:sz w:val="24"/>
          <w:szCs w:val="24"/>
        </w:rPr>
        <w:t xml:space="preserve">necessarie per la </w:t>
      </w:r>
      <w:r w:rsidR="002A7FD9" w:rsidRPr="00CF691D">
        <w:rPr>
          <w:rFonts w:cstheme="minorHAnsi"/>
          <w:sz w:val="24"/>
          <w:szCs w:val="24"/>
        </w:rPr>
        <w:t>definizione</w:t>
      </w:r>
      <w:r w:rsidRPr="00CF691D">
        <w:rPr>
          <w:rFonts w:cstheme="minorHAnsi"/>
          <w:sz w:val="24"/>
          <w:szCs w:val="24"/>
        </w:rPr>
        <w:t xml:space="preserve"> </w:t>
      </w:r>
      <w:r w:rsidR="002A7FD9" w:rsidRPr="00CF691D">
        <w:rPr>
          <w:rFonts w:cstheme="minorHAnsi"/>
          <w:sz w:val="24"/>
          <w:szCs w:val="24"/>
        </w:rPr>
        <w:t xml:space="preserve">degli aspetti </w:t>
      </w:r>
      <w:r w:rsidRPr="00CF691D">
        <w:rPr>
          <w:rFonts w:cstheme="minorHAnsi"/>
          <w:sz w:val="24"/>
          <w:szCs w:val="24"/>
        </w:rPr>
        <w:t xml:space="preserve">economici e patrimoniali. </w:t>
      </w:r>
      <w:r w:rsidR="002A7FD9" w:rsidRPr="00CF691D">
        <w:rPr>
          <w:rFonts w:cstheme="minorHAnsi"/>
          <w:sz w:val="24"/>
          <w:szCs w:val="24"/>
        </w:rPr>
        <w:t>Risulterà necessario valutare anche l’evoluzione del bacino di utenza</w:t>
      </w:r>
      <w:r w:rsidRPr="00CF691D">
        <w:rPr>
          <w:rFonts w:cstheme="minorHAnsi"/>
          <w:sz w:val="24"/>
          <w:szCs w:val="24"/>
        </w:rPr>
        <w:t xml:space="preserve">, individuando, nella medesima sede, i possibili </w:t>
      </w:r>
      <w:r w:rsidR="002A7FD9" w:rsidRPr="00CF691D">
        <w:rPr>
          <w:rFonts w:cstheme="minorHAnsi"/>
          <w:sz w:val="24"/>
          <w:szCs w:val="24"/>
        </w:rPr>
        <w:t xml:space="preserve">impatti </w:t>
      </w:r>
      <w:r w:rsidRPr="00CF691D">
        <w:rPr>
          <w:rFonts w:cstheme="minorHAnsi"/>
          <w:sz w:val="24"/>
          <w:szCs w:val="24"/>
        </w:rPr>
        <w:t>futuri, in</w:t>
      </w:r>
      <w:r w:rsidR="00952352" w:rsidRPr="00CF691D">
        <w:rPr>
          <w:rFonts w:cstheme="minorHAnsi"/>
          <w:sz w:val="24"/>
          <w:szCs w:val="24"/>
        </w:rPr>
        <w:t xml:space="preserve"> modo </w:t>
      </w:r>
      <w:r w:rsidRPr="00CF691D">
        <w:rPr>
          <w:rFonts w:cstheme="minorHAnsi"/>
          <w:sz w:val="24"/>
          <w:szCs w:val="24"/>
        </w:rPr>
        <w:t xml:space="preserve">da considerarli </w:t>
      </w:r>
      <w:r w:rsidR="00952352" w:rsidRPr="00CF691D">
        <w:rPr>
          <w:rFonts w:cstheme="minorHAnsi"/>
          <w:sz w:val="24"/>
          <w:szCs w:val="24"/>
        </w:rPr>
        <w:t>n</w:t>
      </w:r>
      <w:r w:rsidRPr="00CF691D">
        <w:rPr>
          <w:rFonts w:cstheme="minorHAnsi"/>
          <w:sz w:val="24"/>
          <w:szCs w:val="24"/>
        </w:rPr>
        <w:t>ella predisposizione del piano.</w:t>
      </w:r>
      <w:r w:rsidRPr="00691490">
        <w:rPr>
          <w:rFonts w:cstheme="minorHAnsi"/>
          <w:sz w:val="24"/>
          <w:szCs w:val="24"/>
        </w:rPr>
        <w:t xml:space="preserve"> </w:t>
      </w:r>
    </w:p>
    <w:p w14:paraId="5D228DCF" w14:textId="016E3CF3" w:rsidR="000C24E4" w:rsidRPr="00691490" w:rsidRDefault="000C24E4" w:rsidP="009909B6">
      <w:pPr>
        <w:pStyle w:val="Titolo2"/>
      </w:pPr>
      <w:bookmarkStart w:id="6" w:name="_Toc140849920"/>
      <w:r w:rsidRPr="00691490">
        <w:t>Determinazione dei ricavi</w:t>
      </w:r>
      <w:bookmarkEnd w:id="6"/>
    </w:p>
    <w:p w14:paraId="10BF7924" w14:textId="18DC5278" w:rsidR="00A03F74" w:rsidRPr="00691490" w:rsidRDefault="000C24E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In questo paragrafo </w:t>
      </w:r>
      <w:r w:rsidR="00C27920">
        <w:rPr>
          <w:rFonts w:cstheme="minorHAnsi"/>
          <w:sz w:val="24"/>
          <w:szCs w:val="24"/>
        </w:rPr>
        <w:t>dovrà essere</w:t>
      </w:r>
      <w:r w:rsidRPr="00691490">
        <w:rPr>
          <w:rFonts w:cstheme="minorHAnsi"/>
          <w:sz w:val="24"/>
          <w:szCs w:val="24"/>
        </w:rPr>
        <w:t xml:space="preserve"> analizzata la composizione e la proiezione dei ricavi nell’arco del periodo</w:t>
      </w:r>
      <w:r w:rsidR="00597D9A" w:rsidRPr="00691490">
        <w:rPr>
          <w:rFonts w:cstheme="minorHAnsi"/>
          <w:sz w:val="24"/>
          <w:szCs w:val="24"/>
        </w:rPr>
        <w:t xml:space="preserve"> </w:t>
      </w:r>
      <w:r w:rsidRPr="00691490">
        <w:rPr>
          <w:rFonts w:cstheme="minorHAnsi"/>
          <w:sz w:val="24"/>
          <w:szCs w:val="24"/>
        </w:rPr>
        <w:t xml:space="preserve">di gestione. </w:t>
      </w:r>
      <w:r w:rsidR="00A03F74" w:rsidRPr="00691490">
        <w:rPr>
          <w:rFonts w:cstheme="minorHAnsi"/>
          <w:sz w:val="24"/>
          <w:szCs w:val="24"/>
        </w:rPr>
        <w:t xml:space="preserve">Sarà, inoltre, necessario </w:t>
      </w:r>
      <w:r w:rsidR="009E2128" w:rsidRPr="00691490">
        <w:rPr>
          <w:rFonts w:cstheme="minorHAnsi"/>
          <w:sz w:val="24"/>
          <w:szCs w:val="24"/>
        </w:rPr>
        <w:t xml:space="preserve">specificare le determinazioni </w:t>
      </w:r>
      <w:r w:rsidR="00A03F74" w:rsidRPr="00691490">
        <w:rPr>
          <w:rFonts w:cstheme="minorHAnsi"/>
          <w:sz w:val="24"/>
          <w:szCs w:val="24"/>
        </w:rPr>
        <w:t>che</w:t>
      </w:r>
      <w:r w:rsidR="009E2128" w:rsidRPr="00691490">
        <w:rPr>
          <w:rFonts w:cstheme="minorHAnsi"/>
          <w:sz w:val="24"/>
          <w:szCs w:val="24"/>
        </w:rPr>
        <w:t xml:space="preserve"> </w:t>
      </w:r>
      <w:r w:rsidR="00A03F74" w:rsidRPr="00691490">
        <w:rPr>
          <w:rFonts w:cstheme="minorHAnsi"/>
          <w:sz w:val="24"/>
          <w:szCs w:val="24"/>
        </w:rPr>
        <w:t xml:space="preserve">hanno portato alla </w:t>
      </w:r>
      <w:r w:rsidR="009E2128" w:rsidRPr="00691490">
        <w:rPr>
          <w:rFonts w:cstheme="minorHAnsi"/>
          <w:sz w:val="24"/>
          <w:szCs w:val="24"/>
        </w:rPr>
        <w:t>valorizzazione dei ricavi, che dovranno essere coerenti con le assunzioni di piano.</w:t>
      </w:r>
    </w:p>
    <w:p w14:paraId="04AEA447" w14:textId="56B098DA" w:rsidR="00597D9A" w:rsidRPr="00691490" w:rsidRDefault="000C24E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In particolare, quest’ultimi saranno </w:t>
      </w:r>
      <w:r w:rsidR="00A03F74" w:rsidRPr="00691490">
        <w:rPr>
          <w:rFonts w:cstheme="minorHAnsi"/>
          <w:sz w:val="24"/>
          <w:szCs w:val="24"/>
        </w:rPr>
        <w:t xml:space="preserve">distinti </w:t>
      </w:r>
      <w:r w:rsidRPr="00691490">
        <w:rPr>
          <w:rFonts w:cstheme="minorHAnsi"/>
          <w:sz w:val="24"/>
          <w:szCs w:val="24"/>
        </w:rPr>
        <w:t>principalmente</w:t>
      </w:r>
      <w:r w:rsidR="00A03F74" w:rsidRPr="00691490">
        <w:rPr>
          <w:rFonts w:cstheme="minorHAnsi"/>
          <w:sz w:val="24"/>
          <w:szCs w:val="24"/>
        </w:rPr>
        <w:t xml:space="preserve"> in </w:t>
      </w:r>
      <w:r w:rsidR="00597D9A" w:rsidRPr="00691490">
        <w:rPr>
          <w:rFonts w:cstheme="minorHAnsi"/>
          <w:sz w:val="24"/>
          <w:szCs w:val="24"/>
        </w:rPr>
        <w:t>ricavi derivanti</w:t>
      </w:r>
      <w:r w:rsidRPr="00691490">
        <w:rPr>
          <w:rFonts w:cstheme="minorHAnsi"/>
          <w:sz w:val="24"/>
          <w:szCs w:val="24"/>
        </w:rPr>
        <w:t xml:space="preserve"> da: </w:t>
      </w:r>
    </w:p>
    <w:p w14:paraId="57CD7F38" w14:textId="5A38D46B" w:rsidR="00803AB1" w:rsidRPr="00EF6B49" w:rsidRDefault="000C24E4" w:rsidP="00EF6B49">
      <w:pPr>
        <w:ind w:left="284"/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1) tariffe ricevute direttamente dall’utenza a fronte dell’erogazione del </w:t>
      </w:r>
      <w:r w:rsidR="00A03F74" w:rsidRPr="00691490">
        <w:rPr>
          <w:rFonts w:cstheme="minorHAnsi"/>
          <w:sz w:val="24"/>
          <w:szCs w:val="24"/>
        </w:rPr>
        <w:t>servizio</w:t>
      </w:r>
      <w:r w:rsidR="00326E27">
        <w:rPr>
          <w:rFonts w:cstheme="minorHAnsi"/>
          <w:sz w:val="24"/>
          <w:szCs w:val="24"/>
        </w:rPr>
        <w:t xml:space="preserve"> </w:t>
      </w:r>
      <w:r w:rsidR="00326E27" w:rsidRPr="00952352">
        <w:rPr>
          <w:rFonts w:cstheme="minorHAnsi"/>
          <w:sz w:val="24"/>
          <w:szCs w:val="24"/>
        </w:rPr>
        <w:t>in linea con le determinazioni dell’</w:t>
      </w:r>
      <w:r w:rsidR="00803AB1" w:rsidRPr="00952352">
        <w:rPr>
          <w:rFonts w:cstheme="minorHAnsi"/>
          <w:sz w:val="24"/>
          <w:szCs w:val="24"/>
        </w:rPr>
        <w:t>e</w:t>
      </w:r>
      <w:r w:rsidR="00326E27" w:rsidRPr="00952352">
        <w:rPr>
          <w:rFonts w:cstheme="minorHAnsi"/>
          <w:sz w:val="24"/>
          <w:szCs w:val="24"/>
        </w:rPr>
        <w:t>nte</w:t>
      </w:r>
      <w:r w:rsidR="006F33AD" w:rsidRPr="00952352">
        <w:rPr>
          <w:rFonts w:cstheme="minorHAnsi"/>
          <w:sz w:val="24"/>
          <w:szCs w:val="24"/>
        </w:rPr>
        <w:t xml:space="preserve">. Secondo quanto stabilito dall’art. 26, comma 1 del D.lgs. 201/2022 </w:t>
      </w:r>
      <w:r w:rsidR="00803AB1" w:rsidRPr="00952352">
        <w:rPr>
          <w:rFonts w:cstheme="minorHAnsi"/>
          <w:sz w:val="24"/>
          <w:szCs w:val="24"/>
        </w:rPr>
        <w:t>le tariffe vengono determinate in modo tale “</w:t>
      </w:r>
      <w:r w:rsidR="00803AB1" w:rsidRPr="00952352">
        <w:rPr>
          <w:rFonts w:cstheme="minorHAnsi"/>
          <w:i/>
          <w:iCs/>
          <w:sz w:val="24"/>
          <w:szCs w:val="24"/>
        </w:rPr>
        <w:t>da assicurare l’equilibrio economico – finanziario dell’investimento e della gestione, nonché il perseguimento di recuperi di efficienza che consentano la riduzione dei costi a carico della collettività</w:t>
      </w:r>
      <w:r w:rsidR="00803AB1" w:rsidRPr="00952352">
        <w:rPr>
          <w:rFonts w:cstheme="minorHAnsi"/>
          <w:sz w:val="24"/>
          <w:szCs w:val="24"/>
        </w:rPr>
        <w:t xml:space="preserve">”.  </w:t>
      </w:r>
    </w:p>
    <w:p w14:paraId="6AA9ED88" w14:textId="294CE1AC" w:rsidR="00597D9A" w:rsidRPr="00691490" w:rsidRDefault="000C24E4" w:rsidP="009909B6">
      <w:pPr>
        <w:ind w:left="284"/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2) da eventuali contributi riconosciuti al gestore per compensare la previsione di tariffe agevolate per categorie specifiche di utenti che versano in situazioni di disagio economico e sociale o diversamente abili, così come sancito dall’art. 26, comma 3 del D.lgs. </w:t>
      </w:r>
      <w:r w:rsidR="00A03F74" w:rsidRPr="00691490">
        <w:rPr>
          <w:rFonts w:cstheme="minorHAnsi"/>
          <w:sz w:val="24"/>
          <w:szCs w:val="24"/>
        </w:rPr>
        <w:t xml:space="preserve">201/2022; </w:t>
      </w:r>
      <w:r w:rsidR="00952352">
        <w:rPr>
          <w:rFonts w:cstheme="minorHAnsi"/>
          <w:sz w:val="24"/>
          <w:szCs w:val="24"/>
        </w:rPr>
        <w:t xml:space="preserve">o </w:t>
      </w:r>
      <w:r w:rsidR="0048501E">
        <w:rPr>
          <w:rFonts w:cstheme="minorHAnsi"/>
          <w:sz w:val="24"/>
          <w:szCs w:val="24"/>
        </w:rPr>
        <w:t xml:space="preserve">per soddisfare </w:t>
      </w:r>
      <w:r w:rsidR="0048501E" w:rsidRPr="0048501E">
        <w:rPr>
          <w:rFonts w:cstheme="minorHAnsi"/>
          <w:sz w:val="24"/>
          <w:szCs w:val="24"/>
        </w:rPr>
        <w:t>eventuali obblighi di servizio pubblico</w:t>
      </w:r>
      <w:r w:rsidR="0048501E">
        <w:rPr>
          <w:rFonts w:cstheme="minorHAnsi"/>
          <w:sz w:val="24"/>
          <w:szCs w:val="24"/>
        </w:rPr>
        <w:t>;</w:t>
      </w:r>
    </w:p>
    <w:p w14:paraId="6C5A1A87" w14:textId="6C4F5968" w:rsidR="00597D9A" w:rsidRPr="00691490" w:rsidRDefault="00A03F74" w:rsidP="009909B6">
      <w:pPr>
        <w:ind w:left="284"/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3) derivanti da altre Pubbliche Amministrazioni</w:t>
      </w:r>
      <w:r w:rsidR="00597D9A" w:rsidRPr="00691490">
        <w:rPr>
          <w:rFonts w:cstheme="minorHAnsi"/>
          <w:sz w:val="24"/>
          <w:szCs w:val="24"/>
        </w:rPr>
        <w:t>;</w:t>
      </w:r>
    </w:p>
    <w:p w14:paraId="3897A2F6" w14:textId="140A5B37" w:rsidR="000C24E4" w:rsidRPr="00691490" w:rsidRDefault="00A03F74" w:rsidP="009909B6">
      <w:pPr>
        <w:ind w:left="284"/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4) altri ricavi, quale categoria residuale contenente fattispecie non ricomprese nelle voci precedenti.</w:t>
      </w:r>
    </w:p>
    <w:p w14:paraId="6F82E20E" w14:textId="0EE83B64" w:rsidR="00A03F74" w:rsidRPr="00691490" w:rsidRDefault="00A03F7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Per ognuna di queste categorie verrà riportata la proiezione del valore che si prevede di ottenere durante il periodo di gestione del servizio.</w:t>
      </w:r>
    </w:p>
    <w:p w14:paraId="7060D96D" w14:textId="2FC02C9D" w:rsidR="006A21D2" w:rsidRPr="00691490" w:rsidRDefault="006A21D2" w:rsidP="009909B6">
      <w:pPr>
        <w:pStyle w:val="Titolo2"/>
      </w:pPr>
      <w:bookmarkStart w:id="7" w:name="_Toc140849921"/>
      <w:r w:rsidRPr="00691490">
        <w:t>Determinazione dei costi</w:t>
      </w:r>
      <w:bookmarkEnd w:id="7"/>
    </w:p>
    <w:p w14:paraId="7A7C3FE0" w14:textId="21BF5271" w:rsidR="00A03F74" w:rsidRPr="00691490" w:rsidRDefault="00A03F7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Come effettuato per i ricavi, anche per i costi sarà necessario procedere con un’analisi dettagliata e la relativa proiezione degli stess</w:t>
      </w:r>
      <w:r w:rsidR="00597D9A" w:rsidRPr="00691490">
        <w:rPr>
          <w:rFonts w:cstheme="minorHAnsi"/>
          <w:sz w:val="24"/>
          <w:szCs w:val="24"/>
        </w:rPr>
        <w:t>i</w:t>
      </w:r>
      <w:r w:rsidRPr="00691490">
        <w:rPr>
          <w:rFonts w:cstheme="minorHAnsi"/>
          <w:sz w:val="24"/>
          <w:szCs w:val="24"/>
        </w:rPr>
        <w:t xml:space="preserve"> nel corso del periodo di gestione, fornendo, allo stesso tempo, indicazione delle </w:t>
      </w:r>
      <w:r w:rsidR="009E2128" w:rsidRPr="00691490">
        <w:rPr>
          <w:rFonts w:cstheme="minorHAnsi"/>
          <w:sz w:val="24"/>
          <w:szCs w:val="24"/>
        </w:rPr>
        <w:t xml:space="preserve">condizioni </w:t>
      </w:r>
      <w:r w:rsidRPr="00691490">
        <w:rPr>
          <w:rFonts w:cstheme="minorHAnsi"/>
          <w:sz w:val="24"/>
          <w:szCs w:val="24"/>
        </w:rPr>
        <w:t>poste alla base della loro quantificazione.</w:t>
      </w:r>
      <w:r w:rsidR="009E2128" w:rsidRPr="00691490">
        <w:rPr>
          <w:rFonts w:cstheme="minorHAnsi"/>
          <w:sz w:val="24"/>
          <w:szCs w:val="24"/>
        </w:rPr>
        <w:t xml:space="preserve"> Quest’ultime dovranno risultare coerenti con le assunzioni di piano.</w:t>
      </w:r>
      <w:r w:rsidRPr="00691490">
        <w:rPr>
          <w:rFonts w:cstheme="minorHAnsi"/>
          <w:sz w:val="24"/>
          <w:szCs w:val="24"/>
        </w:rPr>
        <w:t xml:space="preserve"> </w:t>
      </w:r>
      <w:r w:rsidR="00EF6B49">
        <w:rPr>
          <w:rFonts w:cstheme="minorHAnsi"/>
          <w:sz w:val="24"/>
          <w:szCs w:val="24"/>
        </w:rPr>
        <w:t>Le voci di costo di conto economico vengono</w:t>
      </w:r>
      <w:r w:rsidRPr="00691490">
        <w:rPr>
          <w:rFonts w:cstheme="minorHAnsi"/>
          <w:sz w:val="24"/>
          <w:szCs w:val="24"/>
        </w:rPr>
        <w:t xml:space="preserve">, per semplicità, </w:t>
      </w:r>
      <w:r w:rsidR="00EF6B49">
        <w:rPr>
          <w:rFonts w:cstheme="minorHAnsi"/>
          <w:sz w:val="24"/>
          <w:szCs w:val="24"/>
        </w:rPr>
        <w:t xml:space="preserve">riportate </w:t>
      </w:r>
      <w:r w:rsidRPr="00691490">
        <w:rPr>
          <w:rFonts w:cstheme="minorHAnsi"/>
          <w:sz w:val="24"/>
          <w:szCs w:val="24"/>
        </w:rPr>
        <w:t>di seguito:</w:t>
      </w:r>
    </w:p>
    <w:p w14:paraId="1C7ABFBA" w14:textId="2BB3EAC7" w:rsidR="00A03F74" w:rsidRPr="00691490" w:rsidRDefault="00A03F7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Materie prime, sussidiarie, di consumo e di merci;</w:t>
      </w:r>
    </w:p>
    <w:p w14:paraId="3042988E" w14:textId="669BD898" w:rsidR="00A03F74" w:rsidRPr="00691490" w:rsidRDefault="00A03F7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Servizi;</w:t>
      </w:r>
    </w:p>
    <w:p w14:paraId="03D12546" w14:textId="03779710" w:rsidR="00A03F74" w:rsidRPr="00691490" w:rsidRDefault="00A03F7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Costi del personale</w:t>
      </w:r>
      <w:r w:rsidR="00050F2F">
        <w:rPr>
          <w:rFonts w:cstheme="minorHAnsi"/>
          <w:sz w:val="24"/>
          <w:szCs w:val="24"/>
        </w:rPr>
        <w:t>;</w:t>
      </w:r>
    </w:p>
    <w:p w14:paraId="18D52122" w14:textId="438E85BB" w:rsidR="00A03F74" w:rsidRPr="00691490" w:rsidRDefault="00A03F7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Ammortamenti degli </w:t>
      </w:r>
      <w:proofErr w:type="gramStart"/>
      <w:r w:rsidRPr="00691490">
        <w:rPr>
          <w:rFonts w:cstheme="minorHAnsi"/>
          <w:sz w:val="24"/>
          <w:szCs w:val="24"/>
        </w:rPr>
        <w:t>investimenti</w:t>
      </w:r>
      <w:r w:rsidR="00050F2F">
        <w:rPr>
          <w:rFonts w:cstheme="minorHAnsi"/>
          <w:sz w:val="24"/>
          <w:szCs w:val="24"/>
        </w:rPr>
        <w:t>;</w:t>
      </w:r>
      <w:r w:rsidR="008407A4" w:rsidRPr="00691490">
        <w:rPr>
          <w:rFonts w:cstheme="minorHAnsi"/>
          <w:sz w:val="24"/>
          <w:szCs w:val="24"/>
        </w:rPr>
        <w:t>.</w:t>
      </w:r>
      <w:proofErr w:type="gramEnd"/>
    </w:p>
    <w:p w14:paraId="31820948" w14:textId="63B46B94" w:rsidR="008407A4" w:rsidRPr="00691490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Svalutazioni;</w:t>
      </w:r>
    </w:p>
    <w:p w14:paraId="1B900B8C" w14:textId="226B928C" w:rsidR="008407A4" w:rsidRPr="00691490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Variazione delle rimanenze di materie prime, sussidiarie, di consumo e di merci;</w:t>
      </w:r>
    </w:p>
    <w:p w14:paraId="13E1BE55" w14:textId="2D9C337C" w:rsidR="008407A4" w:rsidRPr="00691490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Accantonamenti per rischi;</w:t>
      </w:r>
    </w:p>
    <w:p w14:paraId="5C6FEBB2" w14:textId="4FEEA941" w:rsidR="008407A4" w:rsidRPr="00691490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Oneri diversi di gestione;</w:t>
      </w:r>
    </w:p>
    <w:p w14:paraId="11DFF5A3" w14:textId="1B26A7A4" w:rsidR="008407A4" w:rsidRPr="00691490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Oneri finanziari, con separata nota degli oneri derivanti dall’eventuale indebitamento necessario per finanziare gli investimenti</w:t>
      </w:r>
      <w:r w:rsidR="009E2128" w:rsidRPr="00691490">
        <w:rPr>
          <w:rFonts w:cstheme="minorHAnsi"/>
          <w:sz w:val="24"/>
          <w:szCs w:val="24"/>
        </w:rPr>
        <w:t>;</w:t>
      </w:r>
    </w:p>
    <w:p w14:paraId="5C0BF08D" w14:textId="1751EA79" w:rsidR="003D76EE" w:rsidRPr="00AD37F1" w:rsidRDefault="008407A4" w:rsidP="009909B6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Imposte</w:t>
      </w:r>
      <w:r w:rsidR="009E2128" w:rsidRPr="00691490">
        <w:rPr>
          <w:rFonts w:cstheme="minorHAnsi"/>
          <w:sz w:val="24"/>
          <w:szCs w:val="24"/>
        </w:rPr>
        <w:t>.</w:t>
      </w:r>
    </w:p>
    <w:p w14:paraId="3F457766" w14:textId="52211068" w:rsidR="006A21D2" w:rsidRPr="00691490" w:rsidRDefault="006A21D2" w:rsidP="009909B6">
      <w:pPr>
        <w:pStyle w:val="Titolo2"/>
      </w:pPr>
      <w:bookmarkStart w:id="8" w:name="_Toc140849922"/>
      <w:r w:rsidRPr="00691490">
        <w:t>Verifica degli equilibri economici</w:t>
      </w:r>
      <w:bookmarkEnd w:id="8"/>
    </w:p>
    <w:p w14:paraId="597F532D" w14:textId="34FA0204" w:rsidR="008407A4" w:rsidRPr="00691490" w:rsidRDefault="008407A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Tale sezione risulterà suddivisa in due parti: la prima conterrà il prospetto di conto economico previsionale per tutti gli anni di gestione del servizio, la </w:t>
      </w:r>
      <w:r w:rsidR="00A10248" w:rsidRPr="00691490">
        <w:rPr>
          <w:rFonts w:cstheme="minorHAnsi"/>
          <w:sz w:val="24"/>
          <w:szCs w:val="24"/>
        </w:rPr>
        <w:t>seconda; invece,</w:t>
      </w:r>
      <w:r w:rsidRPr="00691490">
        <w:rPr>
          <w:rFonts w:cstheme="minorHAnsi"/>
          <w:sz w:val="24"/>
          <w:szCs w:val="24"/>
        </w:rPr>
        <w:t xml:space="preserve"> conterrà le evidenze del necessario raggiungimento dell’equilibrio economico-finanziario della gestione. Tale condizione sarà verificata attraverso il calcolo dei principali indicatori economici che consentiranno di effettuare </w:t>
      </w:r>
      <w:r w:rsidR="004749CA" w:rsidRPr="00691490">
        <w:rPr>
          <w:rFonts w:cstheme="minorHAnsi"/>
          <w:sz w:val="24"/>
          <w:szCs w:val="24"/>
        </w:rPr>
        <w:t xml:space="preserve">delle </w:t>
      </w:r>
      <w:r w:rsidRPr="00691490">
        <w:rPr>
          <w:rFonts w:cstheme="minorHAnsi"/>
          <w:sz w:val="24"/>
          <w:szCs w:val="24"/>
        </w:rPr>
        <w:t>analisi maggiormente dettagliate e approfondite.</w:t>
      </w:r>
    </w:p>
    <w:p w14:paraId="599F3B15" w14:textId="13331E3C" w:rsidR="008407A4" w:rsidRPr="00691490" w:rsidRDefault="008407A4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I principali indicatori</w:t>
      </w:r>
      <w:r w:rsidR="00EF6B49">
        <w:rPr>
          <w:rFonts w:cstheme="minorHAnsi"/>
          <w:sz w:val="24"/>
          <w:szCs w:val="24"/>
        </w:rPr>
        <w:t xml:space="preserve"> </w:t>
      </w:r>
      <w:r w:rsidR="00050F2F">
        <w:rPr>
          <w:rFonts w:cstheme="minorHAnsi"/>
          <w:sz w:val="24"/>
          <w:szCs w:val="24"/>
        </w:rPr>
        <w:t>che possono essere presi in considerazione, a titolo di esempio,</w:t>
      </w:r>
      <w:r w:rsidRPr="00691490">
        <w:rPr>
          <w:rFonts w:cstheme="minorHAnsi"/>
          <w:sz w:val="24"/>
          <w:szCs w:val="24"/>
        </w:rPr>
        <w:t xml:space="preserve"> </w:t>
      </w:r>
      <w:r w:rsidR="00EF6B49">
        <w:rPr>
          <w:rFonts w:cstheme="minorHAnsi"/>
          <w:sz w:val="24"/>
          <w:szCs w:val="24"/>
        </w:rPr>
        <w:t>sono quelli riportati di seguito</w:t>
      </w:r>
      <w:r w:rsidRPr="00691490">
        <w:rPr>
          <w:rFonts w:cstheme="minorHAnsi"/>
          <w:sz w:val="24"/>
          <w:szCs w:val="24"/>
        </w:rPr>
        <w:t>:</w:t>
      </w:r>
    </w:p>
    <w:p w14:paraId="288C2D58" w14:textId="7048F5E4" w:rsidR="008407A4" w:rsidRPr="00691490" w:rsidRDefault="008407A4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691490">
        <w:rPr>
          <w:rFonts w:cstheme="minorHAnsi"/>
          <w:sz w:val="24"/>
          <w:szCs w:val="24"/>
          <w:lang w:val="en-US"/>
        </w:rPr>
        <w:t xml:space="preserve">EBITDA </w:t>
      </w:r>
      <w:r w:rsidRPr="00691490">
        <w:rPr>
          <w:rFonts w:cstheme="minorHAnsi"/>
          <w:i/>
          <w:iCs/>
          <w:sz w:val="24"/>
          <w:szCs w:val="24"/>
          <w:lang w:val="en-US"/>
        </w:rPr>
        <w:t xml:space="preserve">- Earnings Before Interests Taxes </w:t>
      </w:r>
      <w:r w:rsidR="00154F57" w:rsidRPr="00691490">
        <w:rPr>
          <w:rFonts w:cstheme="minorHAnsi"/>
          <w:i/>
          <w:iCs/>
          <w:sz w:val="24"/>
          <w:szCs w:val="24"/>
          <w:lang w:val="en-US"/>
        </w:rPr>
        <w:t>Depreciation</w:t>
      </w:r>
      <w:r w:rsidRPr="00691490">
        <w:rPr>
          <w:rFonts w:cstheme="minorHAnsi"/>
          <w:i/>
          <w:iCs/>
          <w:sz w:val="24"/>
          <w:szCs w:val="24"/>
          <w:lang w:val="en-US"/>
        </w:rPr>
        <w:t xml:space="preserve"> and </w:t>
      </w:r>
      <w:r w:rsidR="009909B6" w:rsidRPr="00691490">
        <w:rPr>
          <w:rFonts w:cstheme="minorHAnsi"/>
          <w:i/>
          <w:iCs/>
          <w:sz w:val="24"/>
          <w:szCs w:val="24"/>
          <w:lang w:val="en-US"/>
        </w:rPr>
        <w:t>Amortization</w:t>
      </w:r>
      <w:r w:rsidR="009909B6" w:rsidRPr="00691490">
        <w:rPr>
          <w:rFonts w:cstheme="minorHAnsi"/>
          <w:sz w:val="24"/>
          <w:szCs w:val="24"/>
          <w:lang w:val="en-US"/>
        </w:rPr>
        <w:t>.</w:t>
      </w:r>
    </w:p>
    <w:p w14:paraId="781CB0F9" w14:textId="3E53CC4E" w:rsidR="008407A4" w:rsidRPr="00691490" w:rsidRDefault="008407A4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691490">
        <w:rPr>
          <w:rFonts w:cstheme="minorHAnsi"/>
          <w:sz w:val="24"/>
          <w:szCs w:val="24"/>
          <w:lang w:val="en-US"/>
        </w:rPr>
        <w:t xml:space="preserve">EBIT - </w:t>
      </w:r>
      <w:r w:rsidRPr="00691490">
        <w:rPr>
          <w:rFonts w:cstheme="minorHAnsi"/>
          <w:i/>
          <w:iCs/>
          <w:sz w:val="24"/>
          <w:szCs w:val="24"/>
          <w:lang w:val="en-US"/>
        </w:rPr>
        <w:t>Earnings Before Interests and Taxes</w:t>
      </w:r>
      <w:r w:rsidRPr="00691490">
        <w:rPr>
          <w:rFonts w:cstheme="minorHAnsi"/>
          <w:sz w:val="24"/>
          <w:szCs w:val="24"/>
          <w:lang w:val="en-US"/>
        </w:rPr>
        <w:t>:</w:t>
      </w:r>
    </w:p>
    <w:p w14:paraId="7525972B" w14:textId="64D0550E" w:rsidR="008407A4" w:rsidRPr="00691490" w:rsidRDefault="008407A4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Utile ante imposte;</w:t>
      </w:r>
    </w:p>
    <w:p w14:paraId="275BF7E4" w14:textId="378C0B7B" w:rsidR="008407A4" w:rsidRPr="00691490" w:rsidRDefault="008407A4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Utile netto;</w:t>
      </w:r>
    </w:p>
    <w:p w14:paraId="12A13F6F" w14:textId="588813D2" w:rsidR="008407A4" w:rsidRPr="00691490" w:rsidRDefault="008407A4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Utili netti cumulati</w:t>
      </w:r>
      <w:r w:rsidR="00154F57">
        <w:rPr>
          <w:rFonts w:cstheme="minorHAnsi"/>
          <w:sz w:val="24"/>
          <w:szCs w:val="24"/>
        </w:rPr>
        <w:t>;</w:t>
      </w:r>
    </w:p>
    <w:p w14:paraId="509AA516" w14:textId="43960ADA" w:rsidR="00617BA1" w:rsidRPr="00691490" w:rsidRDefault="00617BA1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ROI- </w:t>
      </w:r>
      <w:r w:rsidRPr="00691490">
        <w:rPr>
          <w:rFonts w:cstheme="minorHAnsi"/>
          <w:i/>
          <w:iCs/>
          <w:sz w:val="24"/>
          <w:szCs w:val="24"/>
        </w:rPr>
        <w:t xml:space="preserve">Return </w:t>
      </w:r>
      <w:r w:rsidR="004E3CE8">
        <w:rPr>
          <w:rFonts w:cstheme="minorHAnsi"/>
          <w:i/>
          <w:iCs/>
          <w:sz w:val="24"/>
          <w:szCs w:val="24"/>
        </w:rPr>
        <w:t>O</w:t>
      </w:r>
      <w:r w:rsidRPr="00691490">
        <w:rPr>
          <w:rFonts w:cstheme="minorHAnsi"/>
          <w:i/>
          <w:iCs/>
          <w:sz w:val="24"/>
          <w:szCs w:val="24"/>
        </w:rPr>
        <w:t xml:space="preserve">n </w:t>
      </w:r>
      <w:r w:rsidR="009909B6" w:rsidRPr="00691490">
        <w:rPr>
          <w:rFonts w:cstheme="minorHAnsi"/>
          <w:i/>
          <w:iCs/>
          <w:sz w:val="24"/>
          <w:szCs w:val="24"/>
        </w:rPr>
        <w:t>Investment</w:t>
      </w:r>
      <w:r w:rsidRPr="00691490">
        <w:rPr>
          <w:rFonts w:cstheme="minorHAnsi"/>
          <w:sz w:val="24"/>
          <w:szCs w:val="24"/>
        </w:rPr>
        <w:t>;</w:t>
      </w:r>
    </w:p>
    <w:p w14:paraId="002B37B6" w14:textId="579B2614" w:rsidR="00617BA1" w:rsidRPr="00691490" w:rsidRDefault="00617BA1" w:rsidP="009909B6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ROS – </w:t>
      </w:r>
      <w:r w:rsidRPr="00691490">
        <w:rPr>
          <w:rFonts w:cstheme="minorHAnsi"/>
          <w:i/>
          <w:iCs/>
          <w:sz w:val="24"/>
          <w:szCs w:val="24"/>
        </w:rPr>
        <w:t xml:space="preserve">Return </w:t>
      </w:r>
      <w:r w:rsidR="004E3CE8">
        <w:rPr>
          <w:rFonts w:cstheme="minorHAnsi"/>
          <w:i/>
          <w:iCs/>
          <w:sz w:val="24"/>
          <w:szCs w:val="24"/>
        </w:rPr>
        <w:t>O</w:t>
      </w:r>
      <w:r w:rsidRPr="00691490">
        <w:rPr>
          <w:rFonts w:cstheme="minorHAnsi"/>
          <w:i/>
          <w:iCs/>
          <w:sz w:val="24"/>
          <w:szCs w:val="24"/>
        </w:rPr>
        <w:t>n Sale</w:t>
      </w:r>
      <w:r w:rsidR="009909B6">
        <w:rPr>
          <w:rFonts w:cstheme="minorHAnsi"/>
          <w:sz w:val="24"/>
          <w:szCs w:val="24"/>
        </w:rPr>
        <w:t>;</w:t>
      </w:r>
    </w:p>
    <w:p w14:paraId="35FB150A" w14:textId="3DB95F9F" w:rsidR="00EF6B49" w:rsidRDefault="00EF6B49" w:rsidP="00384D23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ROE – </w:t>
      </w:r>
      <w:r w:rsidR="004E3CE8" w:rsidRPr="004E3CE8">
        <w:rPr>
          <w:rFonts w:cstheme="minorHAnsi"/>
          <w:i/>
          <w:iCs/>
          <w:sz w:val="24"/>
          <w:szCs w:val="24"/>
        </w:rPr>
        <w:t>R</w:t>
      </w:r>
      <w:r w:rsidRPr="004E3CE8">
        <w:rPr>
          <w:rFonts w:cstheme="minorHAnsi"/>
          <w:i/>
          <w:iCs/>
          <w:sz w:val="24"/>
          <w:szCs w:val="24"/>
        </w:rPr>
        <w:t xml:space="preserve">eturn </w:t>
      </w:r>
      <w:r w:rsidR="004E3CE8" w:rsidRPr="004E3CE8">
        <w:rPr>
          <w:rFonts w:cstheme="minorHAnsi"/>
          <w:i/>
          <w:iCs/>
          <w:sz w:val="24"/>
          <w:szCs w:val="24"/>
        </w:rPr>
        <w:t>On Equity</w:t>
      </w:r>
      <w:r w:rsidR="004E3CE8">
        <w:rPr>
          <w:rFonts w:cstheme="minorHAnsi"/>
          <w:sz w:val="24"/>
          <w:szCs w:val="24"/>
        </w:rPr>
        <w:t>;</w:t>
      </w:r>
    </w:p>
    <w:p w14:paraId="17E1A65F" w14:textId="32E245D6" w:rsidR="00EF6B49" w:rsidRPr="004E3CE8" w:rsidRDefault="009E2128" w:rsidP="004E3CE8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>Incidenza dei costi generali o indiretti</w:t>
      </w:r>
      <w:r w:rsidR="00D201E2">
        <w:rPr>
          <w:rFonts w:cstheme="minorHAnsi"/>
          <w:sz w:val="24"/>
          <w:szCs w:val="24"/>
        </w:rPr>
        <w:t>;</w:t>
      </w:r>
    </w:p>
    <w:p w14:paraId="26558C9F" w14:textId="269ADCC5" w:rsidR="009E2128" w:rsidRPr="004E3CE8" w:rsidRDefault="00D201E2" w:rsidP="00384D23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4E3CE8">
        <w:rPr>
          <w:rFonts w:cstheme="minorHAnsi"/>
          <w:sz w:val="24"/>
          <w:szCs w:val="24"/>
          <w:lang w:val="en-US"/>
        </w:rPr>
        <w:t xml:space="preserve">DSCR - </w:t>
      </w:r>
      <w:r w:rsidR="000E55AD" w:rsidRPr="004E3CE8">
        <w:rPr>
          <w:rFonts w:cstheme="minorHAnsi"/>
          <w:i/>
          <w:iCs/>
          <w:sz w:val="24"/>
          <w:szCs w:val="24"/>
          <w:lang w:val="en-US"/>
        </w:rPr>
        <w:t>Debt Service Coverage Ratio</w:t>
      </w:r>
      <w:r w:rsidR="004E3CE8">
        <w:rPr>
          <w:rFonts w:cstheme="minorHAnsi"/>
          <w:sz w:val="24"/>
          <w:szCs w:val="24"/>
          <w:lang w:val="en-US"/>
        </w:rPr>
        <w:t>.</w:t>
      </w:r>
    </w:p>
    <w:p w14:paraId="68AAC0A5" w14:textId="1A9D1547" w:rsidR="006A21D2" w:rsidRPr="00691490" w:rsidRDefault="00050F2F" w:rsidP="009909B6">
      <w:pPr>
        <w:pStyle w:val="Titolo2"/>
      </w:pPr>
      <w:bookmarkStart w:id="9" w:name="_Toc140849923"/>
      <w:r>
        <w:t>Piano</w:t>
      </w:r>
      <w:r w:rsidRPr="00691490">
        <w:t xml:space="preserve"> </w:t>
      </w:r>
      <w:r w:rsidR="006A21D2" w:rsidRPr="00691490">
        <w:t>degli investimenti</w:t>
      </w:r>
      <w:bookmarkEnd w:id="9"/>
    </w:p>
    <w:p w14:paraId="0687196A" w14:textId="0DD5AE87" w:rsidR="006201A3" w:rsidRPr="00691490" w:rsidRDefault="00001F4F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Tale paragrafo conterrà le specifiche informazioni relative agli investimenti da effettuare </w:t>
      </w:r>
      <w:r w:rsidR="004749CA" w:rsidRPr="00691490">
        <w:rPr>
          <w:rFonts w:cstheme="minorHAnsi"/>
          <w:sz w:val="24"/>
          <w:szCs w:val="24"/>
        </w:rPr>
        <w:t xml:space="preserve">allo scopo di </w:t>
      </w:r>
      <w:r w:rsidRPr="00691490">
        <w:rPr>
          <w:rFonts w:cstheme="minorHAnsi"/>
          <w:sz w:val="24"/>
          <w:szCs w:val="24"/>
        </w:rPr>
        <w:t>fornire evidenza degli aspetti patrimoniali della gestione.</w:t>
      </w:r>
    </w:p>
    <w:p w14:paraId="3670D8ED" w14:textId="72C904CC" w:rsidR="006A21D2" w:rsidRPr="00691490" w:rsidRDefault="006A21D2" w:rsidP="009909B6">
      <w:pPr>
        <w:pStyle w:val="Titolo2"/>
      </w:pPr>
      <w:bookmarkStart w:id="10" w:name="_Toc140849924"/>
      <w:r w:rsidRPr="00691490">
        <w:t>Effetti patrimoniali</w:t>
      </w:r>
      <w:bookmarkEnd w:id="10"/>
    </w:p>
    <w:p w14:paraId="24CA050A" w14:textId="7999446B" w:rsidR="00001F4F" w:rsidRPr="00691490" w:rsidRDefault="00001F4F" w:rsidP="009909B6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Come effettuato per il conto economico, anche </w:t>
      </w:r>
      <w:r w:rsidR="004749CA" w:rsidRPr="00691490">
        <w:rPr>
          <w:rFonts w:cstheme="minorHAnsi"/>
          <w:sz w:val="24"/>
          <w:szCs w:val="24"/>
        </w:rPr>
        <w:t xml:space="preserve">per le principali voci dello stato patrimoniale </w:t>
      </w:r>
      <w:r w:rsidR="00251451">
        <w:rPr>
          <w:rFonts w:cstheme="minorHAnsi"/>
          <w:sz w:val="24"/>
          <w:szCs w:val="24"/>
        </w:rPr>
        <w:t>dovrà essere condotta</w:t>
      </w:r>
      <w:r w:rsidRPr="00691490">
        <w:rPr>
          <w:rFonts w:cstheme="minorHAnsi"/>
          <w:sz w:val="24"/>
          <w:szCs w:val="24"/>
        </w:rPr>
        <w:t xml:space="preserve"> un’analisi </w:t>
      </w:r>
      <w:r w:rsidR="00251451">
        <w:rPr>
          <w:rFonts w:cstheme="minorHAnsi"/>
          <w:sz w:val="24"/>
          <w:szCs w:val="24"/>
        </w:rPr>
        <w:t>previsionale</w:t>
      </w:r>
      <w:r w:rsidRPr="00691490">
        <w:rPr>
          <w:rFonts w:cstheme="minorHAnsi"/>
          <w:sz w:val="24"/>
          <w:szCs w:val="24"/>
        </w:rPr>
        <w:t xml:space="preserve"> dell’evoluzione nel corso del periodo di </w:t>
      </w:r>
      <w:r w:rsidR="00433445" w:rsidRPr="00691490">
        <w:rPr>
          <w:rFonts w:cstheme="minorHAnsi"/>
          <w:sz w:val="24"/>
          <w:szCs w:val="24"/>
        </w:rPr>
        <w:t>gestione,</w:t>
      </w:r>
      <w:r w:rsidR="004749CA" w:rsidRPr="00691490">
        <w:rPr>
          <w:rFonts w:cstheme="minorHAnsi"/>
          <w:sz w:val="24"/>
          <w:szCs w:val="24"/>
        </w:rPr>
        <w:t xml:space="preserve"> </w:t>
      </w:r>
      <w:r w:rsidRPr="00691490">
        <w:rPr>
          <w:rFonts w:cstheme="minorHAnsi"/>
          <w:sz w:val="24"/>
          <w:szCs w:val="24"/>
        </w:rPr>
        <w:t>con indicazione dei prospetti economici patrimoniali</w:t>
      </w:r>
      <w:r w:rsidR="004749CA" w:rsidRPr="00691490">
        <w:rPr>
          <w:rFonts w:cstheme="minorHAnsi"/>
          <w:sz w:val="24"/>
          <w:szCs w:val="24"/>
        </w:rPr>
        <w:t>.</w:t>
      </w:r>
    </w:p>
    <w:p w14:paraId="7E2B5D98" w14:textId="73B74D59" w:rsidR="006201A3" w:rsidRPr="006201A3" w:rsidRDefault="006201A3" w:rsidP="009909B6">
      <w:pPr>
        <w:jc w:val="both"/>
        <w:rPr>
          <w:rFonts w:cstheme="minorHAnsi"/>
          <w:sz w:val="24"/>
          <w:szCs w:val="24"/>
        </w:rPr>
      </w:pPr>
      <w:r w:rsidRPr="0048501E">
        <w:rPr>
          <w:rFonts w:cstheme="minorHAnsi"/>
          <w:sz w:val="24"/>
          <w:szCs w:val="24"/>
        </w:rPr>
        <w:t xml:space="preserve">Sul tema degli effetti patrimoniali, l’art. 26, comma 2, lettera d), ricorda come nella determinazione della tariffa si debba tener conto </w:t>
      </w:r>
      <w:r w:rsidR="0048501E" w:rsidRPr="0048501E">
        <w:rPr>
          <w:rFonts w:cstheme="minorHAnsi"/>
          <w:sz w:val="24"/>
          <w:szCs w:val="24"/>
        </w:rPr>
        <w:t xml:space="preserve">anche </w:t>
      </w:r>
      <w:r w:rsidRPr="0048501E">
        <w:rPr>
          <w:rFonts w:cstheme="minorHAnsi"/>
          <w:sz w:val="24"/>
          <w:szCs w:val="24"/>
        </w:rPr>
        <w:t>“</w:t>
      </w:r>
      <w:r w:rsidRPr="0048501E">
        <w:rPr>
          <w:rFonts w:cstheme="minorHAnsi"/>
          <w:i/>
          <w:iCs/>
          <w:sz w:val="24"/>
          <w:szCs w:val="24"/>
        </w:rPr>
        <w:t>dell’adeguatezza della remunerazione del capitale investito, coerente con le prevalenti condizioni di mercato</w:t>
      </w:r>
      <w:r w:rsidRPr="0048501E">
        <w:rPr>
          <w:rFonts w:cstheme="minorHAnsi"/>
          <w:sz w:val="24"/>
          <w:szCs w:val="24"/>
        </w:rPr>
        <w:t>”.</w:t>
      </w:r>
      <w:r w:rsidR="001A4B53" w:rsidRPr="0048501E">
        <w:rPr>
          <w:rFonts w:cstheme="minorHAnsi"/>
          <w:sz w:val="24"/>
          <w:szCs w:val="24"/>
        </w:rPr>
        <w:t xml:space="preserve"> </w:t>
      </w:r>
      <w:r w:rsidR="00251451">
        <w:rPr>
          <w:rFonts w:cstheme="minorHAnsi"/>
          <w:sz w:val="24"/>
          <w:szCs w:val="24"/>
        </w:rPr>
        <w:t>B</w:t>
      </w:r>
      <w:r w:rsidR="00D519BA" w:rsidRPr="0048501E">
        <w:rPr>
          <w:rFonts w:cstheme="minorHAnsi"/>
          <w:sz w:val="24"/>
          <w:szCs w:val="24"/>
        </w:rPr>
        <w:t>isognerà anche garantire un adeguato rapporto tra finanziamenti raccolti e capitale investito</w:t>
      </w:r>
      <w:r w:rsidR="00D519BA" w:rsidRPr="0048501E">
        <w:rPr>
          <w:rStyle w:val="Rimandonotaapidipagina"/>
          <w:rFonts w:cstheme="minorHAnsi"/>
          <w:sz w:val="24"/>
          <w:szCs w:val="24"/>
        </w:rPr>
        <w:footnoteReference w:id="2"/>
      </w:r>
      <w:r w:rsidR="00D519BA" w:rsidRPr="0048501E">
        <w:rPr>
          <w:rFonts w:cstheme="minorHAnsi"/>
          <w:sz w:val="24"/>
          <w:szCs w:val="24"/>
        </w:rPr>
        <w:t>.</w:t>
      </w:r>
    </w:p>
    <w:p w14:paraId="0197A7CB" w14:textId="27D4F750" w:rsidR="006A21D2" w:rsidRPr="00691490" w:rsidRDefault="006A21D2" w:rsidP="009909B6">
      <w:pPr>
        <w:pStyle w:val="Titolo2"/>
      </w:pPr>
      <w:bookmarkStart w:id="11" w:name="_Toc140849925"/>
      <w:r w:rsidRPr="00691490">
        <w:t>Verifica degli equilibri finanziari</w:t>
      </w:r>
      <w:bookmarkEnd w:id="11"/>
    </w:p>
    <w:p w14:paraId="1359A779" w14:textId="2B938B2D" w:rsidR="00617BA1" w:rsidRPr="00691490" w:rsidRDefault="00001F4F" w:rsidP="00547BFB">
      <w:pPr>
        <w:jc w:val="both"/>
        <w:rPr>
          <w:rFonts w:cstheme="minorHAnsi"/>
          <w:sz w:val="24"/>
          <w:szCs w:val="24"/>
        </w:rPr>
      </w:pPr>
      <w:r w:rsidRPr="00691490">
        <w:rPr>
          <w:rFonts w:cstheme="minorHAnsi"/>
          <w:sz w:val="24"/>
          <w:szCs w:val="24"/>
        </w:rPr>
        <w:t xml:space="preserve">Al fine di valutare e verificare </w:t>
      </w:r>
      <w:r w:rsidR="004749CA" w:rsidRPr="00691490">
        <w:rPr>
          <w:rFonts w:cstheme="minorHAnsi"/>
          <w:sz w:val="24"/>
          <w:szCs w:val="24"/>
        </w:rPr>
        <w:t>il raggiungimento de</w:t>
      </w:r>
      <w:r w:rsidRPr="00691490">
        <w:rPr>
          <w:rFonts w:cstheme="minorHAnsi"/>
          <w:sz w:val="24"/>
          <w:szCs w:val="24"/>
        </w:rPr>
        <w:t xml:space="preserve">gli equilibri finanziari, </w:t>
      </w:r>
      <w:r w:rsidR="00547BFB">
        <w:rPr>
          <w:rFonts w:cstheme="minorHAnsi"/>
          <w:sz w:val="24"/>
          <w:szCs w:val="24"/>
        </w:rPr>
        <w:t>occorre valutare con attenzione sia la capacità di rimborsare il debito a medio-lungo termine, ad esempio ricorrendo al DSCR</w:t>
      </w:r>
      <w:r w:rsidR="004E3CE8">
        <w:rPr>
          <w:rFonts w:cstheme="minorHAnsi"/>
          <w:sz w:val="24"/>
          <w:szCs w:val="24"/>
        </w:rPr>
        <w:t xml:space="preserve"> (</w:t>
      </w:r>
      <w:r w:rsidR="004E3CE8" w:rsidRPr="004E3CE8">
        <w:rPr>
          <w:rFonts w:cstheme="minorHAnsi"/>
          <w:i/>
          <w:iCs/>
          <w:sz w:val="24"/>
          <w:szCs w:val="24"/>
        </w:rPr>
        <w:t>Debt Service Coverage Ratio</w:t>
      </w:r>
      <w:r w:rsidR="004E3CE8">
        <w:rPr>
          <w:rFonts w:cstheme="minorHAnsi"/>
          <w:sz w:val="24"/>
          <w:szCs w:val="24"/>
        </w:rPr>
        <w:t>)</w:t>
      </w:r>
      <w:r w:rsidR="00547BFB">
        <w:rPr>
          <w:rFonts w:cstheme="minorHAnsi"/>
          <w:sz w:val="24"/>
          <w:szCs w:val="24"/>
        </w:rPr>
        <w:t xml:space="preserve">, sia la solvibilità a breve della Società. È auspicabile, per altro, la costruzione di un rendiconto finanziario prospettico o comunque di una adeguata misura </w:t>
      </w:r>
      <w:r w:rsidR="00547BFB" w:rsidRPr="004E3CE8">
        <w:rPr>
          <w:rFonts w:cstheme="minorHAnsi"/>
          <w:i/>
          <w:iCs/>
          <w:sz w:val="24"/>
          <w:szCs w:val="24"/>
        </w:rPr>
        <w:t>del cash flow</w:t>
      </w:r>
      <w:r w:rsidR="00547BFB">
        <w:rPr>
          <w:rFonts w:cstheme="minorHAnsi"/>
          <w:sz w:val="24"/>
          <w:szCs w:val="24"/>
        </w:rPr>
        <w:t>.</w:t>
      </w:r>
    </w:p>
    <w:p w14:paraId="6AFC0730" w14:textId="6D669C13" w:rsidR="001A4B53" w:rsidRPr="009909B6" w:rsidRDefault="001A4B53" w:rsidP="009909B6">
      <w:pPr>
        <w:jc w:val="both"/>
        <w:rPr>
          <w:rFonts w:cstheme="minorHAnsi"/>
          <w:sz w:val="24"/>
          <w:szCs w:val="24"/>
        </w:rPr>
      </w:pPr>
    </w:p>
    <w:sectPr w:rsidR="001A4B53" w:rsidRPr="009909B6" w:rsidSect="0069149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CD23" w14:textId="77777777" w:rsidR="00904C88" w:rsidRDefault="00904C88" w:rsidP="006A21D2">
      <w:pPr>
        <w:spacing w:after="0" w:line="240" w:lineRule="auto"/>
      </w:pPr>
      <w:r>
        <w:separator/>
      </w:r>
    </w:p>
  </w:endnote>
  <w:endnote w:type="continuationSeparator" w:id="0">
    <w:p w14:paraId="1E7B4ADC" w14:textId="77777777" w:rsidR="00904C88" w:rsidRDefault="00904C88" w:rsidP="006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 (Titoli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928993"/>
      <w:docPartObj>
        <w:docPartGallery w:val="Page Numbers (Bottom of Page)"/>
        <w:docPartUnique/>
      </w:docPartObj>
    </w:sdtPr>
    <w:sdtEndPr/>
    <w:sdtContent>
      <w:p w14:paraId="4D5675FC" w14:textId="2373DA99" w:rsidR="00A8240F" w:rsidRDefault="00A8240F" w:rsidP="00A824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2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00E6" w14:textId="77777777" w:rsidR="00904C88" w:rsidRDefault="00904C88" w:rsidP="006A21D2">
      <w:pPr>
        <w:spacing w:after="0" w:line="240" w:lineRule="auto"/>
      </w:pPr>
      <w:r>
        <w:separator/>
      </w:r>
    </w:p>
  </w:footnote>
  <w:footnote w:type="continuationSeparator" w:id="0">
    <w:p w14:paraId="5879688C" w14:textId="77777777" w:rsidR="00904C88" w:rsidRDefault="00904C88" w:rsidP="006A21D2">
      <w:pPr>
        <w:spacing w:after="0" w:line="240" w:lineRule="auto"/>
      </w:pPr>
      <w:r>
        <w:continuationSeparator/>
      </w:r>
    </w:p>
  </w:footnote>
  <w:footnote w:id="1">
    <w:p w14:paraId="1A530ACD" w14:textId="5E78336D" w:rsidR="001651A7" w:rsidRDefault="001651A7" w:rsidP="001651A7">
      <w:pPr>
        <w:pStyle w:val="Testonotaapidipagina"/>
      </w:pPr>
      <w:r>
        <w:rPr>
          <w:rStyle w:val="Rimandonotaapidipagina"/>
        </w:rPr>
        <w:footnoteRef/>
      </w:r>
      <w:r>
        <w:t xml:space="preserve"> Art. 17, comma 4</w:t>
      </w:r>
      <w:r w:rsidR="00791EBB">
        <w:t>,</w:t>
      </w:r>
      <w:r>
        <w:t xml:space="preserve"> del D.lgs. 201/2022.</w:t>
      </w:r>
    </w:p>
  </w:footnote>
  <w:footnote w:id="2">
    <w:p w14:paraId="60CBA2E2" w14:textId="34B1DCCE" w:rsidR="00D519BA" w:rsidRDefault="00D519BA">
      <w:pPr>
        <w:pStyle w:val="Testonotaapidipagina"/>
      </w:pPr>
      <w:r>
        <w:rPr>
          <w:rStyle w:val="Rimandonotaapidipagina"/>
        </w:rPr>
        <w:footnoteRef/>
      </w:r>
      <w:r>
        <w:t xml:space="preserve"> Lettera b), comma 2, art. 26 del D.lgs. 201/2022.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3E9B" w14:textId="09BC850E" w:rsidR="00691490" w:rsidRDefault="00A8240F" w:rsidP="00AC11AA">
    <w:pPr>
      <w:pStyle w:val="Intestazione"/>
      <w:pBdr>
        <w:bottom w:val="single" w:sz="4" w:space="1" w:color="auto"/>
      </w:pBdr>
      <w:tabs>
        <w:tab w:val="clear" w:pos="4819"/>
        <w:tab w:val="left" w:pos="2127"/>
      </w:tabs>
    </w:pPr>
    <w:r w:rsidRPr="004D69E6">
      <w:rPr>
        <w:i/>
        <w:iCs/>
        <w:sz w:val="20"/>
        <w:szCs w:val="20"/>
      </w:rPr>
      <w:t>Attuazione dell’</w:t>
    </w:r>
    <w:r>
      <w:rPr>
        <w:i/>
        <w:iCs/>
        <w:sz w:val="20"/>
        <w:szCs w:val="20"/>
      </w:rPr>
      <w:t>a</w:t>
    </w:r>
    <w:r w:rsidRPr="004D69E6">
      <w:rPr>
        <w:i/>
        <w:iCs/>
        <w:sz w:val="20"/>
        <w:szCs w:val="20"/>
      </w:rPr>
      <w:t>rt. 8 del d.lgs. 201/2022</w:t>
    </w:r>
    <w:r w:rsidR="00AC11AA">
      <w:tab/>
    </w:r>
    <w:r w:rsidR="00691490" w:rsidRPr="00691490">
      <w:rPr>
        <w:i/>
        <w:iCs/>
      </w:rPr>
      <w:t>Linee guida per la redazione del PEF – Servizi pubblici locali non a rete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246"/>
    <w:multiLevelType w:val="hybridMultilevel"/>
    <w:tmpl w:val="BFF01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F55"/>
    <w:multiLevelType w:val="hybridMultilevel"/>
    <w:tmpl w:val="326A8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4F89"/>
    <w:multiLevelType w:val="hybridMultilevel"/>
    <w:tmpl w:val="17F455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D31174"/>
    <w:multiLevelType w:val="hybridMultilevel"/>
    <w:tmpl w:val="A7144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0091"/>
    <w:multiLevelType w:val="hybridMultilevel"/>
    <w:tmpl w:val="D7684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4392D"/>
    <w:multiLevelType w:val="hybridMultilevel"/>
    <w:tmpl w:val="211A5F64"/>
    <w:lvl w:ilvl="0" w:tplc="25A8EF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14DC1"/>
    <w:multiLevelType w:val="hybridMultilevel"/>
    <w:tmpl w:val="4F26EB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82DDA"/>
    <w:multiLevelType w:val="hybridMultilevel"/>
    <w:tmpl w:val="62D62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43530"/>
    <w:multiLevelType w:val="hybridMultilevel"/>
    <w:tmpl w:val="789EAA00"/>
    <w:lvl w:ilvl="0" w:tplc="D1007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5254">
    <w:abstractNumId w:val="8"/>
  </w:num>
  <w:num w:numId="2" w16cid:durableId="941189226">
    <w:abstractNumId w:val="7"/>
  </w:num>
  <w:num w:numId="3" w16cid:durableId="855466405">
    <w:abstractNumId w:val="1"/>
  </w:num>
  <w:num w:numId="4" w16cid:durableId="639531924">
    <w:abstractNumId w:val="4"/>
  </w:num>
  <w:num w:numId="5" w16cid:durableId="2067021700">
    <w:abstractNumId w:val="3"/>
  </w:num>
  <w:num w:numId="6" w16cid:durableId="744374771">
    <w:abstractNumId w:val="6"/>
  </w:num>
  <w:num w:numId="7" w16cid:durableId="111019755">
    <w:abstractNumId w:val="2"/>
  </w:num>
  <w:num w:numId="8" w16cid:durableId="990716900">
    <w:abstractNumId w:val="0"/>
  </w:num>
  <w:num w:numId="9" w16cid:durableId="2044481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A"/>
    <w:rsid w:val="00001F4F"/>
    <w:rsid w:val="00003BAF"/>
    <w:rsid w:val="00050F2F"/>
    <w:rsid w:val="00054249"/>
    <w:rsid w:val="00060F61"/>
    <w:rsid w:val="000973DF"/>
    <w:rsid w:val="000C24E4"/>
    <w:rsid w:val="000E55AD"/>
    <w:rsid w:val="00150C7A"/>
    <w:rsid w:val="00154F57"/>
    <w:rsid w:val="00157478"/>
    <w:rsid w:val="00157E27"/>
    <w:rsid w:val="001651A7"/>
    <w:rsid w:val="00166005"/>
    <w:rsid w:val="00194EAB"/>
    <w:rsid w:val="001A4B53"/>
    <w:rsid w:val="001B7B35"/>
    <w:rsid w:val="001D1654"/>
    <w:rsid w:val="001D328A"/>
    <w:rsid w:val="00251451"/>
    <w:rsid w:val="002A7FD9"/>
    <w:rsid w:val="002D5A58"/>
    <w:rsid w:val="002D69BC"/>
    <w:rsid w:val="00325C94"/>
    <w:rsid w:val="00326E27"/>
    <w:rsid w:val="00340774"/>
    <w:rsid w:val="00354FDE"/>
    <w:rsid w:val="00384D23"/>
    <w:rsid w:val="003A6B65"/>
    <w:rsid w:val="003D76EE"/>
    <w:rsid w:val="00433445"/>
    <w:rsid w:val="00465F52"/>
    <w:rsid w:val="004749CA"/>
    <w:rsid w:val="0048501E"/>
    <w:rsid w:val="004E1C20"/>
    <w:rsid w:val="004E3CE8"/>
    <w:rsid w:val="00500D11"/>
    <w:rsid w:val="005057EB"/>
    <w:rsid w:val="00527D5C"/>
    <w:rsid w:val="00546E0C"/>
    <w:rsid w:val="00547BFB"/>
    <w:rsid w:val="00597D9A"/>
    <w:rsid w:val="005A2DCB"/>
    <w:rsid w:val="005C5B18"/>
    <w:rsid w:val="005E07A8"/>
    <w:rsid w:val="005E578E"/>
    <w:rsid w:val="005F3EE4"/>
    <w:rsid w:val="00617BA1"/>
    <w:rsid w:val="006201A3"/>
    <w:rsid w:val="0062114D"/>
    <w:rsid w:val="00623329"/>
    <w:rsid w:val="006416B9"/>
    <w:rsid w:val="006443EF"/>
    <w:rsid w:val="006664E3"/>
    <w:rsid w:val="006910EE"/>
    <w:rsid w:val="00691490"/>
    <w:rsid w:val="006A21D2"/>
    <w:rsid w:val="006A2F1B"/>
    <w:rsid w:val="006B201D"/>
    <w:rsid w:val="006C6726"/>
    <w:rsid w:val="006E3DD4"/>
    <w:rsid w:val="006F33AD"/>
    <w:rsid w:val="00715310"/>
    <w:rsid w:val="007165A1"/>
    <w:rsid w:val="00744711"/>
    <w:rsid w:val="00747598"/>
    <w:rsid w:val="0075335A"/>
    <w:rsid w:val="00763416"/>
    <w:rsid w:val="00791EBB"/>
    <w:rsid w:val="007B4D2E"/>
    <w:rsid w:val="007C6E5E"/>
    <w:rsid w:val="007E3741"/>
    <w:rsid w:val="00803AB1"/>
    <w:rsid w:val="008407A4"/>
    <w:rsid w:val="00862BB2"/>
    <w:rsid w:val="00883DD8"/>
    <w:rsid w:val="00884B1C"/>
    <w:rsid w:val="00891EE8"/>
    <w:rsid w:val="008D5C7A"/>
    <w:rsid w:val="00904C88"/>
    <w:rsid w:val="009164B2"/>
    <w:rsid w:val="00952352"/>
    <w:rsid w:val="00964D5E"/>
    <w:rsid w:val="00977677"/>
    <w:rsid w:val="0098129B"/>
    <w:rsid w:val="009909B6"/>
    <w:rsid w:val="009B1259"/>
    <w:rsid w:val="009B371E"/>
    <w:rsid w:val="009D5B2E"/>
    <w:rsid w:val="009E2128"/>
    <w:rsid w:val="009E2879"/>
    <w:rsid w:val="00A03F74"/>
    <w:rsid w:val="00A06033"/>
    <w:rsid w:val="00A10248"/>
    <w:rsid w:val="00A1351D"/>
    <w:rsid w:val="00A3792D"/>
    <w:rsid w:val="00A675CD"/>
    <w:rsid w:val="00A67C20"/>
    <w:rsid w:val="00A8240F"/>
    <w:rsid w:val="00AB3A53"/>
    <w:rsid w:val="00AC11AA"/>
    <w:rsid w:val="00AD37F1"/>
    <w:rsid w:val="00AD4755"/>
    <w:rsid w:val="00AF1282"/>
    <w:rsid w:val="00B002E6"/>
    <w:rsid w:val="00B0385D"/>
    <w:rsid w:val="00B072A7"/>
    <w:rsid w:val="00B43E56"/>
    <w:rsid w:val="00B62EB4"/>
    <w:rsid w:val="00B81D15"/>
    <w:rsid w:val="00B90E4A"/>
    <w:rsid w:val="00BE1812"/>
    <w:rsid w:val="00BE36D9"/>
    <w:rsid w:val="00C14355"/>
    <w:rsid w:val="00C147C2"/>
    <w:rsid w:val="00C15112"/>
    <w:rsid w:val="00C27920"/>
    <w:rsid w:val="00C46146"/>
    <w:rsid w:val="00C53ABC"/>
    <w:rsid w:val="00C60C01"/>
    <w:rsid w:val="00C93590"/>
    <w:rsid w:val="00CB5E61"/>
    <w:rsid w:val="00CE155E"/>
    <w:rsid w:val="00CF691D"/>
    <w:rsid w:val="00D025E4"/>
    <w:rsid w:val="00D201E2"/>
    <w:rsid w:val="00D20B81"/>
    <w:rsid w:val="00D4604C"/>
    <w:rsid w:val="00D519BA"/>
    <w:rsid w:val="00DB0572"/>
    <w:rsid w:val="00DC33B7"/>
    <w:rsid w:val="00DD422A"/>
    <w:rsid w:val="00DF0533"/>
    <w:rsid w:val="00E01E62"/>
    <w:rsid w:val="00E1063F"/>
    <w:rsid w:val="00E17AED"/>
    <w:rsid w:val="00E24B3F"/>
    <w:rsid w:val="00E33DCF"/>
    <w:rsid w:val="00E54EE7"/>
    <w:rsid w:val="00E562D2"/>
    <w:rsid w:val="00EB6DF3"/>
    <w:rsid w:val="00EC721F"/>
    <w:rsid w:val="00EF3B05"/>
    <w:rsid w:val="00EF6B49"/>
    <w:rsid w:val="00F02801"/>
    <w:rsid w:val="00F22B36"/>
    <w:rsid w:val="00F42FED"/>
    <w:rsid w:val="00F82F5F"/>
    <w:rsid w:val="00FA5F20"/>
    <w:rsid w:val="00FB4EE9"/>
    <w:rsid w:val="00FB546B"/>
    <w:rsid w:val="00FE030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FCA2"/>
  <w15:chartTrackingRefBased/>
  <w15:docId w15:val="{2F275FBE-6DE6-4105-B56D-3DBF7AE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35A"/>
  </w:style>
  <w:style w:type="paragraph" w:styleId="Titolo1">
    <w:name w:val="heading 1"/>
    <w:basedOn w:val="Normale"/>
    <w:next w:val="Normale"/>
    <w:link w:val="Titolo1Carattere"/>
    <w:uiPriority w:val="9"/>
    <w:qFormat/>
    <w:rsid w:val="009164B2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164B2"/>
    <w:pPr>
      <w:jc w:val="both"/>
      <w:outlineLvl w:val="1"/>
    </w:pPr>
    <w:rPr>
      <w:rFonts w:asciiTheme="minorHAnsi" w:hAnsiTheme="minorHAnsi" w:cstheme="minorHAns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35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3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3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3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3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3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35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64B2"/>
    <w:rPr>
      <w:rFonts w:eastAsiaTheme="majorEastAsia" w:cstheme="minorHAns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35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35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35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35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35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3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35A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533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35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5335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35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35A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5335A"/>
    <w:rPr>
      <w:b/>
      <w:bCs/>
    </w:rPr>
  </w:style>
  <w:style w:type="character" w:styleId="Enfasicorsivo">
    <w:name w:val="Emphasis"/>
    <w:basedOn w:val="Carpredefinitoparagrafo"/>
    <w:uiPriority w:val="20"/>
    <w:qFormat/>
    <w:rsid w:val="0075335A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75335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5335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35A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35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35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5335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5335A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533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5335A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75335A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335A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21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21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21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E03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6D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36D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490"/>
  </w:style>
  <w:style w:type="paragraph" w:styleId="Pidipagina">
    <w:name w:val="footer"/>
    <w:basedOn w:val="Normale"/>
    <w:link w:val="PidipaginaCarattere"/>
    <w:uiPriority w:val="99"/>
    <w:unhideWhenUsed/>
    <w:rsid w:val="006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49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1490"/>
  </w:style>
  <w:style w:type="paragraph" w:styleId="Sommario1">
    <w:name w:val="toc 1"/>
    <w:basedOn w:val="Normale"/>
    <w:next w:val="Normale"/>
    <w:autoRedefine/>
    <w:uiPriority w:val="39"/>
    <w:unhideWhenUsed/>
    <w:rsid w:val="009164B2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mallCap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9164B2"/>
    <w:pPr>
      <w:spacing w:after="0"/>
    </w:pPr>
    <w:rPr>
      <w:rFonts w:cstheme="minorHAns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A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A2DC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06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06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06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06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063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C672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CAA9-9B10-47C5-9D58-2F696B58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Linea guida per la redazione del PEF</dc:subject>
  <dc:creator>ludovica fiorucci</dc:creator>
  <cp:keywords/>
  <dc:description/>
  <cp:lastModifiedBy>Flavia Baldassarre</cp:lastModifiedBy>
  <cp:revision>2</cp:revision>
  <dcterms:created xsi:type="dcterms:W3CDTF">2023-09-11T10:10:00Z</dcterms:created>
  <dcterms:modified xsi:type="dcterms:W3CDTF">2023-09-11T10:10:00Z</dcterms:modified>
</cp:coreProperties>
</file>